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CB6B2">
      <w:pPr>
        <w:rPr>
          <w:highlight w:val="none"/>
        </w:rPr>
      </w:pPr>
    </w:p>
    <w:p w14:paraId="378FC28F">
      <w:pPr>
        <w:spacing w:line="560" w:lineRule="exact"/>
        <w:jc w:val="center"/>
        <w:rPr>
          <w:rFonts w:ascii="华文中宋" w:hAnsi="华文中宋" w:eastAsia="华文中宋"/>
          <w:b/>
          <w:sz w:val="52"/>
          <w:szCs w:val="52"/>
          <w:highlight w:val="none"/>
        </w:rPr>
      </w:pPr>
    </w:p>
    <w:p w14:paraId="19C0C9F1">
      <w:pPr>
        <w:spacing w:line="560" w:lineRule="exact"/>
        <w:jc w:val="center"/>
        <w:rPr>
          <w:rFonts w:ascii="方正小标宋_GBK" w:hAnsi="黑体" w:eastAsia="方正小标宋_GBK"/>
          <w:sz w:val="56"/>
          <w:szCs w:val="44"/>
          <w:highlight w:val="none"/>
        </w:rPr>
      </w:pPr>
      <w:r>
        <w:rPr>
          <w:rFonts w:hint="eastAsia" w:ascii="方正小标宋_GBK" w:hAnsi="黑体" w:eastAsia="方正小标宋_GBK"/>
          <w:spacing w:val="-10"/>
          <w:sz w:val="48"/>
          <w:szCs w:val="44"/>
          <w:highlight w:val="none"/>
        </w:rPr>
        <w:t>广西壮族自治区交通运输综合行政执法局</w:t>
      </w:r>
      <w:r>
        <w:rPr>
          <w:rFonts w:hint="eastAsia" w:ascii="方正小标宋_GBK" w:hAnsi="黑体" w:eastAsia="方正小标宋_GBK"/>
          <w:spacing w:val="-11"/>
          <w:sz w:val="48"/>
          <w:szCs w:val="44"/>
          <w:highlight w:val="none"/>
        </w:rPr>
        <w:t>执法</w:t>
      </w:r>
      <w:r>
        <w:rPr>
          <w:rFonts w:hint="eastAsia" w:ascii="方正小标宋_GBK" w:hAnsi="黑体" w:eastAsia="方正小标宋_GBK"/>
          <w:spacing w:val="-11"/>
          <w:sz w:val="48"/>
          <w:szCs w:val="44"/>
          <w:highlight w:val="none"/>
          <w:lang w:eastAsia="zh-CN"/>
        </w:rPr>
        <w:t>船舶</w:t>
      </w:r>
      <w:r>
        <w:rPr>
          <w:rFonts w:hint="eastAsia" w:ascii="方正小标宋_GBK" w:hAnsi="黑体" w:eastAsia="方正小标宋_GBK"/>
          <w:spacing w:val="-11"/>
          <w:sz w:val="48"/>
          <w:szCs w:val="44"/>
          <w:highlight w:val="none"/>
        </w:rPr>
        <w:t>配备</w:t>
      </w:r>
      <w:r>
        <w:rPr>
          <w:rFonts w:hint="eastAsia" w:ascii="方正小标宋_GBK" w:hAnsi="黑体" w:eastAsia="方正小标宋_GBK"/>
          <w:spacing w:val="-11"/>
          <w:sz w:val="48"/>
          <w:szCs w:val="44"/>
          <w:highlight w:val="none"/>
          <w:lang w:eastAsia="zh-CN"/>
        </w:rPr>
        <w:t>标准研究</w:t>
      </w:r>
      <w:r>
        <w:rPr>
          <w:rFonts w:hint="eastAsia" w:ascii="方正小标宋_GBK" w:hAnsi="黑体" w:eastAsia="方正小标宋_GBK"/>
          <w:spacing w:val="-11"/>
          <w:sz w:val="48"/>
          <w:szCs w:val="44"/>
          <w:highlight w:val="none"/>
        </w:rPr>
        <w:t>项目询价采购文件</w:t>
      </w:r>
    </w:p>
    <w:p w14:paraId="3D409ABA">
      <w:pPr>
        <w:rPr>
          <w:highlight w:val="none"/>
        </w:rPr>
      </w:pPr>
    </w:p>
    <w:p w14:paraId="5324F2BE">
      <w:pPr>
        <w:rPr>
          <w:highlight w:val="none"/>
        </w:rPr>
      </w:pPr>
    </w:p>
    <w:p w14:paraId="7EE4E74D">
      <w:pPr>
        <w:rPr>
          <w:highlight w:val="none"/>
        </w:rPr>
      </w:pPr>
    </w:p>
    <w:p w14:paraId="5D6C54A8">
      <w:pPr>
        <w:rPr>
          <w:highlight w:val="none"/>
        </w:rPr>
      </w:pPr>
    </w:p>
    <w:p w14:paraId="77DB6F99">
      <w:pPr>
        <w:rPr>
          <w:highlight w:val="none"/>
        </w:rPr>
      </w:pPr>
    </w:p>
    <w:p w14:paraId="60A17554">
      <w:pPr>
        <w:jc w:val="center"/>
        <w:rPr>
          <w:b/>
          <w:sz w:val="84"/>
          <w:szCs w:val="84"/>
          <w:highlight w:val="none"/>
        </w:rPr>
      </w:pPr>
    </w:p>
    <w:p w14:paraId="44004182">
      <w:pPr>
        <w:rPr>
          <w:highlight w:val="none"/>
        </w:rPr>
      </w:pPr>
    </w:p>
    <w:p w14:paraId="40F4801A">
      <w:pPr>
        <w:rPr>
          <w:highlight w:val="none"/>
        </w:rPr>
      </w:pPr>
    </w:p>
    <w:p w14:paraId="423EB069">
      <w:pPr>
        <w:rPr>
          <w:highlight w:val="none"/>
        </w:rPr>
      </w:pPr>
    </w:p>
    <w:p w14:paraId="3ED58974">
      <w:pPr>
        <w:rPr>
          <w:highlight w:val="none"/>
        </w:rPr>
      </w:pPr>
    </w:p>
    <w:p w14:paraId="46F5CFFD">
      <w:pPr>
        <w:rPr>
          <w:highlight w:val="none"/>
        </w:rPr>
      </w:pPr>
    </w:p>
    <w:p w14:paraId="6ABC382E">
      <w:pPr>
        <w:rPr>
          <w:b/>
          <w:sz w:val="36"/>
          <w:szCs w:val="36"/>
          <w:highlight w:val="none"/>
        </w:rPr>
      </w:pPr>
    </w:p>
    <w:p w14:paraId="21681745">
      <w:pPr>
        <w:rPr>
          <w:b/>
          <w:sz w:val="36"/>
          <w:szCs w:val="36"/>
          <w:highlight w:val="none"/>
        </w:rPr>
      </w:pPr>
    </w:p>
    <w:p w14:paraId="0D790438">
      <w:pPr>
        <w:rPr>
          <w:b/>
          <w:sz w:val="36"/>
          <w:szCs w:val="36"/>
          <w:highlight w:val="none"/>
        </w:rPr>
      </w:pPr>
    </w:p>
    <w:p w14:paraId="7696AC23">
      <w:pPr>
        <w:rPr>
          <w:b/>
          <w:sz w:val="36"/>
          <w:szCs w:val="36"/>
          <w:highlight w:val="none"/>
        </w:rPr>
      </w:pPr>
    </w:p>
    <w:p w14:paraId="462804DF">
      <w:pPr>
        <w:rPr>
          <w:b/>
          <w:sz w:val="36"/>
          <w:szCs w:val="36"/>
          <w:highlight w:val="none"/>
        </w:rPr>
      </w:pPr>
    </w:p>
    <w:p w14:paraId="5AEF293E">
      <w:pPr>
        <w:rPr>
          <w:b/>
          <w:sz w:val="44"/>
          <w:szCs w:val="44"/>
          <w:highlight w:val="none"/>
        </w:rPr>
      </w:pPr>
    </w:p>
    <w:p w14:paraId="7139482B">
      <w:pPr>
        <w:rPr>
          <w:b/>
          <w:sz w:val="44"/>
          <w:szCs w:val="44"/>
          <w:highlight w:val="none"/>
        </w:rPr>
      </w:pPr>
    </w:p>
    <w:p w14:paraId="2BDAA1CA">
      <w:pPr>
        <w:rPr>
          <w:b/>
          <w:sz w:val="44"/>
          <w:szCs w:val="44"/>
          <w:highlight w:val="none"/>
        </w:rPr>
      </w:pPr>
    </w:p>
    <w:p w14:paraId="0B4DEA6A">
      <w:pPr>
        <w:rPr>
          <w:rFonts w:hint="eastAsia" w:ascii="仿宋_GB2312" w:eastAsia="仿宋_GB2312"/>
          <w:b/>
          <w:sz w:val="36"/>
          <w:szCs w:val="36"/>
          <w:highlight w:val="none"/>
        </w:rPr>
      </w:pPr>
    </w:p>
    <w:p w14:paraId="0BFD0B39">
      <w:pPr>
        <w:rPr>
          <w:rFonts w:hint="eastAsia" w:ascii="仿宋_GB2312" w:eastAsia="仿宋_GB2312"/>
          <w:b/>
          <w:sz w:val="36"/>
          <w:szCs w:val="36"/>
          <w:highlight w:val="none"/>
        </w:rPr>
      </w:pPr>
    </w:p>
    <w:p w14:paraId="778B3F36">
      <w:pPr>
        <w:rPr>
          <w:rFonts w:hint="eastAsia" w:ascii="仿宋_GB2312" w:eastAsia="仿宋_GB2312"/>
          <w:b/>
          <w:sz w:val="36"/>
          <w:szCs w:val="36"/>
          <w:highlight w:val="none"/>
        </w:rPr>
      </w:pPr>
    </w:p>
    <w:p w14:paraId="0ADF1C07">
      <w:pPr>
        <w:rPr>
          <w:rFonts w:ascii="仿宋_GB2312" w:eastAsia="仿宋_GB2312"/>
          <w:b/>
          <w:sz w:val="36"/>
          <w:szCs w:val="36"/>
          <w:highlight w:val="none"/>
        </w:rPr>
      </w:pPr>
      <w:r>
        <w:rPr>
          <w:rFonts w:hint="eastAsia" w:ascii="仿宋_GB2312" w:eastAsia="仿宋_GB2312"/>
          <w:b/>
          <w:sz w:val="36"/>
          <w:szCs w:val="36"/>
          <w:highlight w:val="none"/>
        </w:rPr>
        <w:t>采购单位：广西壮族自治区交通运输综合行政执法局</w:t>
      </w:r>
    </w:p>
    <w:p w14:paraId="740975D4">
      <w:pPr>
        <w:rPr>
          <w:rFonts w:ascii="仿宋_GB2312" w:eastAsia="仿宋_GB2312"/>
          <w:b/>
          <w:sz w:val="36"/>
          <w:szCs w:val="36"/>
          <w:highlight w:val="none"/>
        </w:rPr>
      </w:pPr>
      <w:r>
        <w:rPr>
          <w:rFonts w:hint="eastAsia" w:ascii="仿宋_GB2312" w:eastAsia="仿宋_GB2312"/>
          <w:b/>
          <w:sz w:val="36"/>
          <w:szCs w:val="36"/>
          <w:highlight w:val="none"/>
        </w:rPr>
        <w:t>日    期：        202</w:t>
      </w:r>
      <w:r>
        <w:rPr>
          <w:rFonts w:hint="eastAsia" w:ascii="仿宋_GB2312" w:eastAsia="仿宋_GB2312"/>
          <w:b/>
          <w:sz w:val="36"/>
          <w:szCs w:val="36"/>
          <w:highlight w:val="none"/>
          <w:lang w:val="en-US" w:eastAsia="zh-CN"/>
        </w:rPr>
        <w:t>6</w:t>
      </w:r>
      <w:r>
        <w:rPr>
          <w:rFonts w:hint="eastAsia" w:ascii="仿宋_GB2312" w:eastAsia="仿宋_GB2312"/>
          <w:b/>
          <w:sz w:val="36"/>
          <w:szCs w:val="36"/>
          <w:highlight w:val="none"/>
        </w:rPr>
        <w:t>年</w:t>
      </w:r>
      <w:r>
        <w:rPr>
          <w:rFonts w:hint="eastAsia" w:ascii="仿宋_GB2312" w:eastAsia="仿宋_GB2312"/>
          <w:b/>
          <w:sz w:val="36"/>
          <w:szCs w:val="36"/>
          <w:highlight w:val="none"/>
          <w:lang w:val="en-US" w:eastAsia="zh-CN"/>
        </w:rPr>
        <w:t>3</w:t>
      </w:r>
      <w:r>
        <w:rPr>
          <w:rFonts w:hint="eastAsia" w:ascii="仿宋_GB2312" w:eastAsia="仿宋_GB2312"/>
          <w:b/>
          <w:sz w:val="36"/>
          <w:szCs w:val="36"/>
          <w:highlight w:val="none"/>
        </w:rPr>
        <w:t>月</w:t>
      </w:r>
      <w:r>
        <w:rPr>
          <w:rFonts w:hint="eastAsia" w:ascii="仿宋_GB2312" w:eastAsia="仿宋_GB2312"/>
          <w:b/>
          <w:sz w:val="36"/>
          <w:szCs w:val="36"/>
          <w:highlight w:val="none"/>
          <w:lang w:val="en-US" w:eastAsia="zh-CN"/>
        </w:rPr>
        <w:t>11</w:t>
      </w:r>
      <w:r>
        <w:rPr>
          <w:rFonts w:hint="eastAsia" w:ascii="仿宋_GB2312" w:eastAsia="仿宋_GB2312"/>
          <w:b/>
          <w:sz w:val="36"/>
          <w:szCs w:val="36"/>
          <w:highlight w:val="none"/>
        </w:rPr>
        <w:t>日</w:t>
      </w:r>
    </w:p>
    <w:p w14:paraId="3E8320B4">
      <w:pPr>
        <w:rPr>
          <w:b/>
          <w:sz w:val="36"/>
          <w:szCs w:val="36"/>
          <w:highlight w:val="none"/>
        </w:rPr>
      </w:pPr>
    </w:p>
    <w:p w14:paraId="19A527E7">
      <w:pPr>
        <w:rPr>
          <w:b/>
          <w:sz w:val="36"/>
          <w:szCs w:val="36"/>
          <w:highlight w:val="none"/>
        </w:rPr>
      </w:pPr>
    </w:p>
    <w:p w14:paraId="5CECD826">
      <w:pPr>
        <w:spacing w:line="560" w:lineRule="exact"/>
        <w:jc w:val="center"/>
        <w:rPr>
          <w:rFonts w:hint="eastAsia" w:ascii="方正小标宋_GBK" w:hAnsi="华文中宋" w:eastAsia="方正小标宋_GBK"/>
          <w:sz w:val="44"/>
          <w:szCs w:val="44"/>
          <w:highlight w:val="none"/>
        </w:rPr>
      </w:pPr>
      <w:bookmarkStart w:id="0" w:name="heading_1"/>
    </w:p>
    <w:p w14:paraId="7C13661B">
      <w:pPr>
        <w:spacing w:line="560" w:lineRule="exact"/>
        <w:jc w:val="center"/>
        <w:rPr>
          <w:rFonts w:hint="eastAsia" w:ascii="方正小标宋_GBK" w:hAnsi="华文中宋" w:eastAsia="方正小标宋_GBK"/>
          <w:sz w:val="44"/>
          <w:szCs w:val="44"/>
          <w:highlight w:val="none"/>
        </w:rPr>
      </w:pPr>
    </w:p>
    <w:bookmarkEnd w:id="0"/>
    <w:p w14:paraId="69FEE43C">
      <w:pPr>
        <w:spacing w:line="560" w:lineRule="exact"/>
        <w:jc w:val="center"/>
        <w:rPr>
          <w:rFonts w:hint="eastAsia" w:ascii="方正小标宋_GBK" w:hAnsi="黑体" w:eastAsia="方正小标宋_GBK"/>
          <w:sz w:val="48"/>
          <w:szCs w:val="44"/>
          <w:highlight w:val="none"/>
        </w:rPr>
      </w:pPr>
      <w:r>
        <w:rPr>
          <w:rFonts w:hint="eastAsia" w:ascii="方正小标宋_GBK" w:hAnsi="黑体" w:eastAsia="方正小标宋_GBK"/>
          <w:spacing w:val="-10"/>
          <w:sz w:val="48"/>
          <w:szCs w:val="44"/>
          <w:highlight w:val="none"/>
        </w:rPr>
        <w:t>执法</w:t>
      </w:r>
      <w:r>
        <w:rPr>
          <w:rFonts w:hint="eastAsia" w:ascii="方正小标宋_GBK" w:hAnsi="黑体" w:eastAsia="方正小标宋_GBK"/>
          <w:spacing w:val="-10"/>
          <w:sz w:val="48"/>
          <w:szCs w:val="44"/>
          <w:highlight w:val="none"/>
          <w:lang w:eastAsia="zh-CN"/>
        </w:rPr>
        <w:t>船舶</w:t>
      </w:r>
      <w:r>
        <w:rPr>
          <w:rFonts w:hint="eastAsia" w:ascii="方正小标宋_GBK" w:hAnsi="黑体" w:eastAsia="方正小标宋_GBK"/>
          <w:spacing w:val="-10"/>
          <w:sz w:val="48"/>
          <w:szCs w:val="44"/>
          <w:highlight w:val="none"/>
        </w:rPr>
        <w:t>配备</w:t>
      </w:r>
      <w:r>
        <w:rPr>
          <w:rFonts w:hint="eastAsia" w:ascii="方正小标宋_GBK" w:hAnsi="黑体" w:eastAsia="方正小标宋_GBK"/>
          <w:spacing w:val="-10"/>
          <w:sz w:val="48"/>
          <w:szCs w:val="44"/>
          <w:highlight w:val="none"/>
          <w:lang w:eastAsia="zh-CN"/>
        </w:rPr>
        <w:t>标准研究</w:t>
      </w:r>
      <w:r>
        <w:rPr>
          <w:rFonts w:hint="eastAsia" w:ascii="方正小标宋_GBK" w:hAnsi="黑体" w:eastAsia="方正小标宋_GBK"/>
          <w:sz w:val="48"/>
          <w:szCs w:val="44"/>
          <w:highlight w:val="none"/>
        </w:rPr>
        <w:t>项目</w:t>
      </w:r>
    </w:p>
    <w:p w14:paraId="3252CFB3">
      <w:pPr>
        <w:spacing w:line="560" w:lineRule="exact"/>
        <w:jc w:val="center"/>
        <w:rPr>
          <w:rFonts w:hint="default" w:ascii="方正小标宋_GBK" w:hAnsi="黑体" w:eastAsia="方正小标宋_GBK"/>
          <w:sz w:val="56"/>
          <w:szCs w:val="44"/>
          <w:highlight w:val="none"/>
          <w:lang w:val="en-US" w:eastAsia="zh-CN"/>
        </w:rPr>
      </w:pPr>
      <w:r>
        <w:rPr>
          <w:rFonts w:hint="eastAsia" w:ascii="方正小标宋_GBK" w:hAnsi="黑体" w:eastAsia="方正小标宋_GBK"/>
          <w:sz w:val="48"/>
          <w:szCs w:val="44"/>
          <w:highlight w:val="none"/>
        </w:rPr>
        <w:t>询价采购</w:t>
      </w:r>
      <w:r>
        <w:rPr>
          <w:rFonts w:hint="eastAsia" w:ascii="方正小标宋_GBK" w:hAnsi="黑体" w:eastAsia="方正小标宋_GBK"/>
          <w:sz w:val="48"/>
          <w:szCs w:val="44"/>
          <w:highlight w:val="none"/>
          <w:lang w:val="en-US" w:eastAsia="zh-CN"/>
        </w:rPr>
        <w:t>供应商需知</w:t>
      </w:r>
      <w:bookmarkStart w:id="20" w:name="_GoBack"/>
      <w:bookmarkEnd w:id="20"/>
    </w:p>
    <w:p w14:paraId="3FD8BC9E">
      <w:pPr>
        <w:keepNext w:val="0"/>
        <w:keepLines w:val="0"/>
        <w:pageBreakBefore w:val="0"/>
        <w:widowControl w:val="0"/>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为</w:t>
      </w:r>
      <w:r>
        <w:rPr>
          <w:rFonts w:hint="eastAsia" w:ascii="仿宋" w:hAnsi="仿宋" w:eastAsia="仿宋" w:cs="仿宋"/>
          <w:sz w:val="28"/>
          <w:szCs w:val="28"/>
        </w:rPr>
        <w:t>规范广西水上交通执法力量建设，提升执法效能与安全保障能力，科学合理配置执法</w:t>
      </w:r>
      <w:r>
        <w:rPr>
          <w:rFonts w:hint="eastAsia" w:ascii="仿宋" w:hAnsi="仿宋" w:eastAsia="仿宋" w:cs="仿宋"/>
          <w:sz w:val="28"/>
          <w:szCs w:val="28"/>
          <w:lang w:eastAsia="zh-CN"/>
        </w:rPr>
        <w:t>船舶</w:t>
      </w:r>
      <w:r>
        <w:rPr>
          <w:rFonts w:hint="eastAsia" w:ascii="仿宋" w:hAnsi="仿宋" w:eastAsia="仿宋" w:cs="仿宋"/>
          <w:sz w:val="28"/>
          <w:szCs w:val="28"/>
        </w:rPr>
        <w:t>资源，结合广西航道特点及水上交通执法工作实际，我局拟开展执法</w:t>
      </w:r>
      <w:r>
        <w:rPr>
          <w:rFonts w:hint="eastAsia" w:ascii="仿宋" w:hAnsi="仿宋" w:eastAsia="仿宋" w:cs="仿宋"/>
          <w:sz w:val="28"/>
          <w:szCs w:val="28"/>
          <w:lang w:eastAsia="zh-CN"/>
        </w:rPr>
        <w:t>船舶</w:t>
      </w:r>
      <w:r>
        <w:rPr>
          <w:rFonts w:hint="eastAsia" w:ascii="仿宋" w:hAnsi="仿宋" w:eastAsia="仿宋" w:cs="仿宋"/>
          <w:sz w:val="28"/>
          <w:szCs w:val="28"/>
        </w:rPr>
        <w:t>配备</w:t>
      </w:r>
      <w:r>
        <w:rPr>
          <w:rFonts w:hint="eastAsia" w:ascii="仿宋" w:hAnsi="仿宋" w:eastAsia="仿宋" w:cs="仿宋"/>
          <w:sz w:val="28"/>
          <w:szCs w:val="28"/>
          <w:lang w:eastAsia="zh-CN"/>
        </w:rPr>
        <w:t>标准</w:t>
      </w:r>
      <w:r>
        <w:rPr>
          <w:rFonts w:hint="eastAsia" w:ascii="仿宋" w:hAnsi="仿宋" w:eastAsia="仿宋" w:cs="仿宋"/>
          <w:sz w:val="28"/>
          <w:szCs w:val="28"/>
        </w:rPr>
        <w:t>研究项目询价采购，现邀请符合条件的机构参与报价。我局将结合各供应商报价文件中的报价、资质实力、履约经验、报价响应程度、技术服务方案、售后服务等方面，通过百分制综合评分法确定成交供应商。</w:t>
      </w:r>
    </w:p>
    <w:p w14:paraId="36631A38">
      <w:pPr>
        <w:keepNext w:val="0"/>
        <w:keepLines w:val="0"/>
        <w:pageBreakBefore w:val="0"/>
        <w:widowControl w:val="0"/>
        <w:kinsoku/>
        <w:wordWrap/>
        <w:overflowPunct/>
        <w:topLinePunct w:val="0"/>
        <w:autoSpaceDE/>
        <w:autoSpaceDN/>
        <w:bidi w:val="0"/>
        <w:adjustRightInd w:val="0"/>
        <w:snapToGrid w:val="0"/>
        <w:spacing w:before="320" w:after="120" w:line="440" w:lineRule="exact"/>
        <w:ind w:left="0" w:firstLine="562" w:firstLineChars="200"/>
        <w:jc w:val="left"/>
        <w:textAlignment w:val="auto"/>
        <w:outlineLvl w:val="1"/>
        <w:rPr>
          <w:rFonts w:hint="eastAsia" w:ascii="仿宋" w:hAnsi="仿宋" w:eastAsia="仿宋" w:cs="仿宋"/>
          <w:sz w:val="28"/>
          <w:szCs w:val="28"/>
        </w:rPr>
      </w:pPr>
      <w:bookmarkStart w:id="1" w:name="heading_2"/>
      <w:r>
        <w:rPr>
          <w:rFonts w:hint="eastAsia" w:ascii="仿宋" w:hAnsi="仿宋" w:eastAsia="仿宋" w:cs="仿宋"/>
          <w:b/>
          <w:sz w:val="28"/>
          <w:szCs w:val="28"/>
        </w:rPr>
        <w:t>一、项目概况</w:t>
      </w:r>
      <w:bookmarkEnd w:id="1"/>
    </w:p>
    <w:p w14:paraId="7629DF9C">
      <w:pPr>
        <w:keepNext w:val="0"/>
        <w:keepLines w:val="0"/>
        <w:pageBreakBefore w:val="0"/>
        <w:widowControl w:val="0"/>
        <w:kinsoku/>
        <w:wordWrap/>
        <w:overflowPunct/>
        <w:topLinePunct w:val="0"/>
        <w:autoSpaceDE/>
        <w:autoSpaceDN/>
        <w:bidi w:val="0"/>
        <w:adjustRightInd w:val="0"/>
        <w:snapToGrid w:val="0"/>
        <w:spacing w:before="120" w:after="120" w:line="44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（一）项目名称：执法</w:t>
      </w:r>
      <w:r>
        <w:rPr>
          <w:rFonts w:hint="eastAsia" w:ascii="仿宋" w:hAnsi="仿宋" w:eastAsia="仿宋" w:cs="仿宋"/>
          <w:sz w:val="28"/>
          <w:szCs w:val="28"/>
          <w:lang w:eastAsia="zh-CN"/>
        </w:rPr>
        <w:t>船舶</w:t>
      </w:r>
      <w:r>
        <w:rPr>
          <w:rFonts w:hint="eastAsia" w:ascii="仿宋" w:hAnsi="仿宋" w:eastAsia="仿宋" w:cs="仿宋"/>
          <w:sz w:val="28"/>
          <w:szCs w:val="28"/>
        </w:rPr>
        <w:t>配备</w:t>
      </w:r>
      <w:r>
        <w:rPr>
          <w:rFonts w:hint="eastAsia" w:ascii="仿宋" w:hAnsi="仿宋" w:eastAsia="仿宋" w:cs="仿宋"/>
          <w:sz w:val="28"/>
          <w:szCs w:val="28"/>
          <w:lang w:eastAsia="zh-CN"/>
        </w:rPr>
        <w:t>标准</w:t>
      </w:r>
      <w:r>
        <w:rPr>
          <w:rFonts w:hint="eastAsia" w:ascii="仿宋" w:hAnsi="仿宋" w:eastAsia="仿宋" w:cs="仿宋"/>
          <w:sz w:val="28"/>
          <w:szCs w:val="28"/>
        </w:rPr>
        <w:t>研究</w:t>
      </w:r>
    </w:p>
    <w:p w14:paraId="0F90A413">
      <w:pPr>
        <w:keepNext w:val="0"/>
        <w:keepLines w:val="0"/>
        <w:pageBreakBefore w:val="0"/>
        <w:widowControl w:val="0"/>
        <w:kinsoku/>
        <w:wordWrap/>
        <w:overflowPunct/>
        <w:topLinePunct w:val="0"/>
        <w:autoSpaceDE/>
        <w:autoSpaceDN/>
        <w:bidi w:val="0"/>
        <w:adjustRightInd w:val="0"/>
        <w:snapToGrid w:val="0"/>
        <w:spacing w:before="120" w:after="120" w:line="44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（二）采购方式：询价采购</w:t>
      </w:r>
    </w:p>
    <w:p w14:paraId="023DD5E9">
      <w:pPr>
        <w:keepNext w:val="0"/>
        <w:keepLines w:val="0"/>
        <w:pageBreakBefore w:val="0"/>
        <w:widowControl w:val="0"/>
        <w:kinsoku/>
        <w:wordWrap/>
        <w:overflowPunct/>
        <w:topLinePunct w:val="0"/>
        <w:autoSpaceDE/>
        <w:autoSpaceDN/>
        <w:bidi w:val="0"/>
        <w:adjustRightInd w:val="0"/>
        <w:snapToGrid w:val="0"/>
        <w:spacing w:before="120" w:after="120" w:line="44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（三）最高限价：人民币5万元整（¥50000.00），供应商报价不得超过此限价，否则视为无效报价</w:t>
      </w:r>
    </w:p>
    <w:p w14:paraId="007D0082">
      <w:pPr>
        <w:keepNext w:val="0"/>
        <w:keepLines w:val="0"/>
        <w:pageBreakBefore w:val="0"/>
        <w:widowControl w:val="0"/>
        <w:kinsoku/>
        <w:wordWrap/>
        <w:overflowPunct/>
        <w:topLinePunct w:val="0"/>
        <w:autoSpaceDE/>
        <w:autoSpaceDN/>
        <w:bidi w:val="0"/>
        <w:adjustRightInd w:val="0"/>
        <w:snapToGrid w:val="0"/>
        <w:spacing w:before="120" w:after="120" w:line="44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（四）服务期限：签订合同之日起</w:t>
      </w:r>
      <w:r>
        <w:rPr>
          <w:rFonts w:hint="eastAsia" w:ascii="仿宋" w:hAnsi="仿宋" w:eastAsia="仿宋" w:cs="仿宋"/>
          <w:sz w:val="28"/>
          <w:szCs w:val="28"/>
          <w:lang w:val="en-US" w:eastAsia="zh-CN"/>
        </w:rPr>
        <w:t>5</w:t>
      </w:r>
      <w:r>
        <w:rPr>
          <w:rFonts w:hint="eastAsia" w:ascii="仿宋" w:hAnsi="仿宋" w:eastAsia="仿宋" w:cs="仿宋"/>
          <w:sz w:val="28"/>
          <w:szCs w:val="28"/>
        </w:rPr>
        <w:t>个月内完成全部技术服务工作，并提交完整成果文件且通过评审验收</w:t>
      </w:r>
    </w:p>
    <w:p w14:paraId="222E9BA6">
      <w:pPr>
        <w:keepNext w:val="0"/>
        <w:keepLines w:val="0"/>
        <w:pageBreakBefore w:val="0"/>
        <w:widowControl w:val="0"/>
        <w:kinsoku/>
        <w:wordWrap/>
        <w:overflowPunct/>
        <w:topLinePunct w:val="0"/>
        <w:autoSpaceDE/>
        <w:autoSpaceDN/>
        <w:bidi w:val="0"/>
        <w:adjustRightInd w:val="0"/>
        <w:snapToGrid w:val="0"/>
        <w:spacing w:before="120" w:after="120" w:line="44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报价要求：供应商须就本项目全部服务内容作完整报价，总报价包含调研、资料收集、数据分析、方案编制、专家论证、成果交付、税费等可能发生的一切费用；成交供应商中标后，需按规定签署合同并严格按合同要求完成各项工作。</w:t>
      </w:r>
    </w:p>
    <w:p w14:paraId="5D656435">
      <w:pPr>
        <w:keepNext w:val="0"/>
        <w:keepLines w:val="0"/>
        <w:pageBreakBefore w:val="0"/>
        <w:widowControl w:val="0"/>
        <w:kinsoku/>
        <w:wordWrap/>
        <w:overflowPunct/>
        <w:topLinePunct w:val="0"/>
        <w:autoSpaceDE/>
        <w:autoSpaceDN/>
        <w:bidi w:val="0"/>
        <w:adjustRightInd w:val="0"/>
        <w:snapToGrid w:val="0"/>
        <w:spacing w:before="320" w:after="120" w:line="440" w:lineRule="exact"/>
        <w:ind w:left="0" w:firstLine="562" w:firstLineChars="200"/>
        <w:jc w:val="left"/>
        <w:textAlignment w:val="auto"/>
        <w:outlineLvl w:val="1"/>
        <w:rPr>
          <w:rFonts w:hint="eastAsia" w:ascii="仿宋" w:hAnsi="仿宋" w:eastAsia="仿宋" w:cs="仿宋"/>
          <w:sz w:val="28"/>
          <w:szCs w:val="28"/>
        </w:rPr>
      </w:pPr>
      <w:bookmarkStart w:id="2" w:name="heading_3"/>
      <w:r>
        <w:rPr>
          <w:rFonts w:hint="eastAsia" w:ascii="仿宋" w:hAnsi="仿宋" w:eastAsia="仿宋" w:cs="仿宋"/>
          <w:b/>
          <w:sz w:val="28"/>
          <w:szCs w:val="28"/>
        </w:rPr>
        <w:t>二、供应商资格要求</w:t>
      </w:r>
      <w:bookmarkEnd w:id="2"/>
    </w:p>
    <w:p w14:paraId="74A925F6">
      <w:pPr>
        <w:keepNext w:val="0"/>
        <w:keepLines w:val="0"/>
        <w:pageBreakBefore w:val="0"/>
        <w:widowControl w:val="0"/>
        <w:kinsoku/>
        <w:wordWrap/>
        <w:overflowPunct/>
        <w:topLinePunct w:val="0"/>
        <w:autoSpaceDE/>
        <w:autoSpaceDN/>
        <w:bidi w:val="0"/>
        <w:adjustRightInd w:val="0"/>
        <w:snapToGrid w:val="0"/>
        <w:spacing w:before="120" w:after="120" w:line="44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（一）在国家工商行政管理部门注册的具有合法有效营业执照的独立法人或在省、市一级事业单位登记管理局登记的事业单位。</w:t>
      </w:r>
    </w:p>
    <w:p w14:paraId="3FF06EB5">
      <w:pPr>
        <w:keepNext w:val="0"/>
        <w:keepLines w:val="0"/>
        <w:pageBreakBefore w:val="0"/>
        <w:widowControl w:val="0"/>
        <w:kinsoku/>
        <w:wordWrap/>
        <w:overflowPunct/>
        <w:topLinePunct w:val="0"/>
        <w:autoSpaceDE/>
        <w:autoSpaceDN/>
        <w:bidi w:val="0"/>
        <w:adjustRightInd w:val="0"/>
        <w:snapToGrid w:val="0"/>
        <w:spacing w:before="120" w:after="120" w:line="44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（二）具有船舶设计、建造或检验相关研究或工程资历。</w:t>
      </w:r>
    </w:p>
    <w:p w14:paraId="1E09FEB9">
      <w:pPr>
        <w:keepNext w:val="0"/>
        <w:keepLines w:val="0"/>
        <w:pageBreakBefore w:val="0"/>
        <w:widowControl w:val="0"/>
        <w:kinsoku/>
        <w:wordWrap/>
        <w:overflowPunct/>
        <w:topLinePunct w:val="0"/>
        <w:autoSpaceDE/>
        <w:autoSpaceDN/>
        <w:bidi w:val="0"/>
        <w:adjustRightInd w:val="0"/>
        <w:snapToGrid w:val="0"/>
        <w:spacing w:before="120" w:after="120" w:line="44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三</w:t>
      </w:r>
      <w:r>
        <w:rPr>
          <w:rFonts w:hint="eastAsia" w:ascii="仿宋" w:hAnsi="仿宋" w:eastAsia="仿宋" w:cs="仿宋"/>
          <w:sz w:val="28"/>
          <w:szCs w:val="28"/>
        </w:rPr>
        <w:t>）截至本项目自行采购公告期结束，未在“信用中国”网站(</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"http://www.creditchina.gov.cn"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www.creditchina.gov.cn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w:t>
      </w:r>
      <w:r>
        <w:rPr>
          <w:rFonts w:hint="eastAsia" w:ascii="仿宋" w:hAnsi="仿宋" w:eastAsia="仿宋" w:cs="仿宋"/>
          <w:sz w:val="28"/>
          <w:szCs w:val="28"/>
        </w:rPr>
        <w:t>等渠道列入失信被执行人、重大税收违法案件当事人名单、政府采购严重违法失信行为记录名单，并符合《中华人民共和国政府采购法》第二十二条规定条件的供应商。</w:t>
      </w:r>
    </w:p>
    <w:p w14:paraId="1772BCB1">
      <w:pPr>
        <w:keepNext w:val="0"/>
        <w:keepLines w:val="0"/>
        <w:pageBreakBefore w:val="0"/>
        <w:widowControl w:val="0"/>
        <w:kinsoku/>
        <w:wordWrap/>
        <w:overflowPunct/>
        <w:topLinePunct w:val="0"/>
        <w:autoSpaceDE/>
        <w:autoSpaceDN/>
        <w:bidi w:val="0"/>
        <w:adjustRightInd w:val="0"/>
        <w:snapToGrid w:val="0"/>
        <w:spacing w:before="120" w:after="120" w:line="44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四</w:t>
      </w:r>
      <w:r>
        <w:rPr>
          <w:rFonts w:hint="eastAsia" w:ascii="仿宋" w:hAnsi="仿宋" w:eastAsia="仿宋" w:cs="仿宋"/>
          <w:sz w:val="28"/>
          <w:szCs w:val="28"/>
        </w:rPr>
        <w:t>）供应商负责人为同一人或者存在直接控股、管理关系的不同供应商，不得同时参加本项目的报价。</w:t>
      </w:r>
    </w:p>
    <w:p w14:paraId="267AE59B">
      <w:pPr>
        <w:keepNext w:val="0"/>
        <w:keepLines w:val="0"/>
        <w:pageBreakBefore w:val="0"/>
        <w:widowControl w:val="0"/>
        <w:kinsoku/>
        <w:wordWrap/>
        <w:overflowPunct/>
        <w:topLinePunct w:val="0"/>
        <w:autoSpaceDE/>
        <w:autoSpaceDN/>
        <w:bidi w:val="0"/>
        <w:adjustRightInd w:val="0"/>
        <w:snapToGrid w:val="0"/>
        <w:spacing w:before="120" w:after="120" w:line="44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五</w:t>
      </w:r>
      <w:r>
        <w:rPr>
          <w:rFonts w:hint="eastAsia" w:ascii="仿宋" w:hAnsi="仿宋" w:eastAsia="仿宋" w:cs="仿宋"/>
          <w:sz w:val="28"/>
          <w:szCs w:val="28"/>
        </w:rPr>
        <w:t>）本项目不接受联合体竞标，不允许将项目分包、转包给第三方实施。</w:t>
      </w:r>
    </w:p>
    <w:p w14:paraId="4EE91B57">
      <w:pPr>
        <w:keepNext w:val="0"/>
        <w:keepLines w:val="0"/>
        <w:pageBreakBefore w:val="0"/>
        <w:widowControl w:val="0"/>
        <w:kinsoku/>
        <w:wordWrap/>
        <w:overflowPunct/>
        <w:topLinePunct w:val="0"/>
        <w:autoSpaceDE/>
        <w:autoSpaceDN/>
        <w:bidi w:val="0"/>
        <w:adjustRightInd w:val="0"/>
        <w:snapToGrid w:val="0"/>
        <w:spacing w:before="120" w:after="120" w:line="44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六</w:t>
      </w:r>
      <w:r>
        <w:rPr>
          <w:rFonts w:hint="eastAsia" w:ascii="仿宋" w:hAnsi="仿宋" w:eastAsia="仿宋" w:cs="仿宋"/>
          <w:sz w:val="28"/>
          <w:szCs w:val="28"/>
        </w:rPr>
        <w:t>）供应商须保证所提供的所有资格证明文件真实、有效、合法，若存在弄虚作假行为，一经查实，立即取消</w:t>
      </w:r>
      <w:r>
        <w:rPr>
          <w:rFonts w:hint="eastAsia" w:ascii="仿宋" w:hAnsi="仿宋" w:eastAsia="仿宋" w:cs="仿宋"/>
          <w:sz w:val="28"/>
          <w:szCs w:val="28"/>
          <w:lang w:eastAsia="zh-CN"/>
        </w:rPr>
        <w:t>询价</w:t>
      </w:r>
      <w:r>
        <w:rPr>
          <w:rFonts w:hint="eastAsia" w:ascii="仿宋" w:hAnsi="仿宋" w:eastAsia="仿宋" w:cs="仿宋"/>
          <w:sz w:val="28"/>
          <w:szCs w:val="28"/>
        </w:rPr>
        <w:t>资格，列入采购方不良供应商名单，且承担由此产生的一切法律责任。</w:t>
      </w:r>
    </w:p>
    <w:p w14:paraId="3712B146">
      <w:pPr>
        <w:keepNext w:val="0"/>
        <w:keepLines w:val="0"/>
        <w:pageBreakBefore w:val="0"/>
        <w:widowControl w:val="0"/>
        <w:kinsoku/>
        <w:wordWrap/>
        <w:overflowPunct/>
        <w:topLinePunct w:val="0"/>
        <w:autoSpaceDE/>
        <w:autoSpaceDN/>
        <w:bidi w:val="0"/>
        <w:adjustRightInd w:val="0"/>
        <w:snapToGrid w:val="0"/>
        <w:spacing w:before="120" w:after="120" w:line="44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七</w:t>
      </w:r>
      <w:r>
        <w:rPr>
          <w:rFonts w:hint="eastAsia" w:ascii="仿宋" w:hAnsi="仿宋" w:eastAsia="仿宋" w:cs="仿宋"/>
          <w:sz w:val="28"/>
          <w:szCs w:val="28"/>
        </w:rPr>
        <w:t>）供应商须在报价文件中按要求提供完整的资格证明材料，未按要求提供或材料不齐全、无效的，视为资格审查不合格。</w:t>
      </w:r>
    </w:p>
    <w:p w14:paraId="1A3610E7">
      <w:pPr>
        <w:keepNext w:val="0"/>
        <w:keepLines w:val="0"/>
        <w:pageBreakBefore w:val="0"/>
        <w:widowControl w:val="0"/>
        <w:kinsoku/>
        <w:wordWrap/>
        <w:overflowPunct/>
        <w:topLinePunct w:val="0"/>
        <w:autoSpaceDE/>
        <w:autoSpaceDN/>
        <w:bidi w:val="0"/>
        <w:adjustRightInd w:val="0"/>
        <w:snapToGrid w:val="0"/>
        <w:spacing w:before="320" w:after="120" w:line="440" w:lineRule="exact"/>
        <w:ind w:left="0" w:firstLine="562" w:firstLineChars="200"/>
        <w:jc w:val="left"/>
        <w:textAlignment w:val="auto"/>
        <w:outlineLvl w:val="1"/>
        <w:rPr>
          <w:rFonts w:hint="eastAsia" w:ascii="仿宋" w:hAnsi="仿宋" w:eastAsia="仿宋" w:cs="仿宋"/>
          <w:sz w:val="28"/>
          <w:szCs w:val="28"/>
        </w:rPr>
      </w:pPr>
      <w:bookmarkStart w:id="3" w:name="heading_4"/>
      <w:r>
        <w:rPr>
          <w:rFonts w:hint="eastAsia" w:ascii="仿宋" w:hAnsi="仿宋" w:eastAsia="仿宋" w:cs="仿宋"/>
          <w:b/>
          <w:sz w:val="28"/>
          <w:szCs w:val="28"/>
        </w:rPr>
        <w:t>三、商务条款</w:t>
      </w:r>
      <w:bookmarkEnd w:id="3"/>
    </w:p>
    <w:p w14:paraId="18876D56">
      <w:pPr>
        <w:keepNext w:val="0"/>
        <w:keepLines w:val="0"/>
        <w:pageBreakBefore w:val="0"/>
        <w:widowControl w:val="0"/>
        <w:kinsoku/>
        <w:wordWrap/>
        <w:overflowPunct/>
        <w:topLinePunct w:val="0"/>
        <w:autoSpaceDE/>
        <w:autoSpaceDN/>
        <w:bidi w:val="0"/>
        <w:adjustRightInd w:val="0"/>
        <w:snapToGrid w:val="0"/>
        <w:spacing w:before="300" w:after="120" w:line="440" w:lineRule="exact"/>
        <w:ind w:left="0" w:firstLine="562" w:firstLineChars="200"/>
        <w:jc w:val="left"/>
        <w:textAlignment w:val="auto"/>
        <w:outlineLvl w:val="2"/>
        <w:rPr>
          <w:rFonts w:hint="eastAsia" w:ascii="仿宋" w:hAnsi="仿宋" w:eastAsia="仿宋" w:cs="仿宋"/>
          <w:sz w:val="28"/>
          <w:szCs w:val="28"/>
        </w:rPr>
      </w:pPr>
      <w:bookmarkStart w:id="4" w:name="heading_5"/>
      <w:r>
        <w:rPr>
          <w:rFonts w:hint="eastAsia" w:ascii="仿宋" w:hAnsi="仿宋" w:eastAsia="仿宋" w:cs="仿宋"/>
          <w:b/>
          <w:sz w:val="28"/>
          <w:szCs w:val="28"/>
        </w:rPr>
        <w:t>（一）服务履行要求</w:t>
      </w:r>
      <w:bookmarkEnd w:id="4"/>
    </w:p>
    <w:p w14:paraId="052F7A13">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供应商须在合同签订之日起</w:t>
      </w:r>
      <w:r>
        <w:rPr>
          <w:rFonts w:hint="eastAsia" w:ascii="仿宋" w:hAnsi="仿宋" w:eastAsia="仿宋" w:cs="仿宋"/>
          <w:sz w:val="28"/>
          <w:szCs w:val="28"/>
          <w:lang w:val="en-US" w:eastAsia="zh-CN"/>
        </w:rPr>
        <w:t>5</w:t>
      </w:r>
      <w:r>
        <w:rPr>
          <w:rFonts w:hint="eastAsia" w:ascii="仿宋" w:hAnsi="仿宋" w:eastAsia="仿宋" w:cs="仿宋"/>
          <w:sz w:val="28"/>
          <w:szCs w:val="28"/>
        </w:rPr>
        <w:t>个月内完成全部技术服务，按要求提交完整成果文件，并配合采购方组织评审；</w:t>
      </w:r>
    </w:p>
    <w:p w14:paraId="24C6D2A6">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若评审提出修改意见，供应商须在</w:t>
      </w:r>
      <w:r>
        <w:rPr>
          <w:rFonts w:hint="eastAsia" w:ascii="仿宋" w:hAnsi="仿宋" w:eastAsia="仿宋" w:cs="仿宋"/>
          <w:sz w:val="28"/>
          <w:szCs w:val="28"/>
          <w:lang w:val="en-US" w:eastAsia="zh-CN"/>
        </w:rPr>
        <w:t>10</w:t>
      </w:r>
      <w:r>
        <w:rPr>
          <w:rFonts w:hint="eastAsia" w:ascii="仿宋" w:hAnsi="仿宋" w:eastAsia="仿宋" w:cs="仿宋"/>
          <w:sz w:val="28"/>
          <w:szCs w:val="28"/>
        </w:rPr>
        <w:t>个工作日内完成成果修改完善，直至通过最终验收，相关费用由供应商自行承担；</w:t>
      </w:r>
    </w:p>
    <w:p w14:paraId="1AB6F02F">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本项目不要求实地扫测，供应商通过文献调研、数据挖掘、访谈、座谈会等方式开展研究工作。</w:t>
      </w:r>
    </w:p>
    <w:p w14:paraId="24314DD8">
      <w:pPr>
        <w:keepNext w:val="0"/>
        <w:keepLines w:val="0"/>
        <w:pageBreakBefore w:val="0"/>
        <w:widowControl w:val="0"/>
        <w:kinsoku/>
        <w:wordWrap/>
        <w:overflowPunct/>
        <w:topLinePunct w:val="0"/>
        <w:autoSpaceDE/>
        <w:autoSpaceDN/>
        <w:bidi w:val="0"/>
        <w:adjustRightInd w:val="0"/>
        <w:snapToGrid w:val="0"/>
        <w:spacing w:before="300" w:after="120" w:line="440" w:lineRule="exact"/>
        <w:ind w:left="0" w:firstLine="562" w:firstLineChars="200"/>
        <w:jc w:val="left"/>
        <w:textAlignment w:val="auto"/>
        <w:outlineLvl w:val="2"/>
        <w:rPr>
          <w:rFonts w:hint="eastAsia" w:ascii="仿宋" w:hAnsi="仿宋" w:eastAsia="仿宋" w:cs="仿宋"/>
          <w:sz w:val="28"/>
          <w:szCs w:val="28"/>
        </w:rPr>
      </w:pPr>
      <w:bookmarkStart w:id="5" w:name="heading_6"/>
      <w:r>
        <w:rPr>
          <w:rFonts w:hint="eastAsia" w:ascii="仿宋" w:hAnsi="仿宋" w:eastAsia="仿宋" w:cs="仿宋"/>
          <w:b/>
          <w:sz w:val="28"/>
          <w:szCs w:val="28"/>
        </w:rPr>
        <w:t>（二）成果交付要求</w:t>
      </w:r>
      <w:bookmarkEnd w:id="5"/>
    </w:p>
    <w:p w14:paraId="2F144242">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纸质成果文件一式</w:t>
      </w:r>
      <w:r>
        <w:rPr>
          <w:rFonts w:hint="eastAsia" w:ascii="仿宋" w:hAnsi="仿宋" w:eastAsia="仿宋" w:cs="仿宋"/>
          <w:sz w:val="28"/>
          <w:szCs w:val="28"/>
          <w:lang w:val="en-US" w:eastAsia="zh-CN"/>
        </w:rPr>
        <w:t>三</w:t>
      </w:r>
      <w:r>
        <w:rPr>
          <w:rFonts w:hint="eastAsia" w:ascii="仿宋" w:hAnsi="仿宋" w:eastAsia="仿宋" w:cs="仿宋"/>
          <w:sz w:val="28"/>
          <w:szCs w:val="28"/>
        </w:rPr>
        <w:t>份（正本1份、副本</w:t>
      </w:r>
      <w:r>
        <w:rPr>
          <w:rFonts w:hint="eastAsia" w:ascii="仿宋" w:hAnsi="仿宋" w:eastAsia="仿宋" w:cs="仿宋"/>
          <w:sz w:val="28"/>
          <w:szCs w:val="28"/>
          <w:lang w:val="en-US" w:eastAsia="zh-CN"/>
        </w:rPr>
        <w:t>2</w:t>
      </w:r>
      <w:r>
        <w:rPr>
          <w:rFonts w:hint="eastAsia" w:ascii="仿宋" w:hAnsi="仿宋" w:eastAsia="仿宋" w:cs="仿宋"/>
          <w:sz w:val="28"/>
          <w:szCs w:val="28"/>
        </w:rPr>
        <w:t>份），电子版成果文件（PDF格式+可编辑Word/Excel格式）1份（存储至U盘）；</w:t>
      </w:r>
    </w:p>
    <w:p w14:paraId="76AD4095">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成果文件需符合国家、自治区相关船舶设计、航道管理规范，贴合广西辖区航道实际及执法工作需求，具备科学性、实用性和可操作性，内容深度达到立项申请要求；</w:t>
      </w:r>
    </w:p>
    <w:p w14:paraId="03124C15">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供应商需按要求提交全套咨询报告，不得缺项、漏项。</w:t>
      </w:r>
    </w:p>
    <w:p w14:paraId="2E640F97">
      <w:pPr>
        <w:keepNext w:val="0"/>
        <w:keepLines w:val="0"/>
        <w:pageBreakBefore w:val="0"/>
        <w:widowControl w:val="0"/>
        <w:kinsoku/>
        <w:wordWrap/>
        <w:overflowPunct/>
        <w:topLinePunct w:val="0"/>
        <w:autoSpaceDE/>
        <w:autoSpaceDN/>
        <w:bidi w:val="0"/>
        <w:adjustRightInd w:val="0"/>
        <w:snapToGrid w:val="0"/>
        <w:spacing w:before="300" w:after="120" w:line="440" w:lineRule="exact"/>
        <w:ind w:left="0" w:firstLine="562" w:firstLineChars="200"/>
        <w:jc w:val="left"/>
        <w:textAlignment w:val="auto"/>
        <w:outlineLvl w:val="2"/>
        <w:rPr>
          <w:rFonts w:hint="eastAsia" w:ascii="仿宋" w:hAnsi="仿宋" w:eastAsia="仿宋" w:cs="仿宋"/>
          <w:sz w:val="28"/>
          <w:szCs w:val="28"/>
        </w:rPr>
      </w:pPr>
      <w:bookmarkStart w:id="6" w:name="heading_7"/>
      <w:r>
        <w:rPr>
          <w:rFonts w:hint="eastAsia" w:ascii="仿宋" w:hAnsi="仿宋" w:eastAsia="仿宋" w:cs="仿宋"/>
          <w:b/>
          <w:sz w:val="28"/>
          <w:szCs w:val="28"/>
        </w:rPr>
        <w:t>（三）售后服务要求</w:t>
      </w:r>
      <w:bookmarkEnd w:id="6"/>
    </w:p>
    <w:p w14:paraId="72D4FBEF">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成果交付并验收合格后</w:t>
      </w:r>
      <w:r>
        <w:rPr>
          <w:rFonts w:hint="eastAsia" w:ascii="仿宋" w:hAnsi="仿宋" w:eastAsia="仿宋" w:cs="仿宋"/>
          <w:b/>
          <w:sz w:val="28"/>
          <w:szCs w:val="28"/>
        </w:rPr>
        <w:t>1年内</w:t>
      </w:r>
      <w:r>
        <w:rPr>
          <w:rFonts w:hint="eastAsia" w:ascii="仿宋" w:hAnsi="仿宋" w:eastAsia="仿宋" w:cs="仿宋"/>
          <w:sz w:val="28"/>
          <w:szCs w:val="28"/>
        </w:rPr>
        <w:t>，为采购方提供免费技术咨询服务，对采购方提出的成果应用、参数调整等疑问，须在3个工作日内给予书面或口头答复；</w:t>
      </w:r>
    </w:p>
    <w:p w14:paraId="24280197">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协助采购方开展成果推广应用及立项相关工作，提供必要的技术指导，配合采购方完成后续相关标准落地的辅助工作；</w:t>
      </w:r>
    </w:p>
    <w:p w14:paraId="5EF11556">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明确项目负责人及核心技术人员联系电话，确保服务期间通信畅通、响应及时。</w:t>
      </w:r>
    </w:p>
    <w:p w14:paraId="5868AC7F">
      <w:pPr>
        <w:keepNext w:val="0"/>
        <w:keepLines w:val="0"/>
        <w:pageBreakBefore w:val="0"/>
        <w:widowControl w:val="0"/>
        <w:kinsoku/>
        <w:wordWrap/>
        <w:overflowPunct/>
        <w:topLinePunct w:val="0"/>
        <w:autoSpaceDE/>
        <w:autoSpaceDN/>
        <w:bidi w:val="0"/>
        <w:adjustRightInd w:val="0"/>
        <w:snapToGrid w:val="0"/>
        <w:spacing w:before="320" w:after="120" w:line="440" w:lineRule="exact"/>
        <w:ind w:left="0" w:firstLine="562" w:firstLineChars="200"/>
        <w:jc w:val="left"/>
        <w:textAlignment w:val="auto"/>
        <w:outlineLvl w:val="1"/>
        <w:rPr>
          <w:rFonts w:hint="eastAsia" w:ascii="仿宋" w:hAnsi="仿宋" w:eastAsia="仿宋" w:cs="仿宋"/>
          <w:b/>
          <w:sz w:val="28"/>
          <w:szCs w:val="28"/>
        </w:rPr>
      </w:pPr>
      <w:bookmarkStart w:id="7" w:name="heading_8"/>
      <w:r>
        <w:rPr>
          <w:rFonts w:hint="eastAsia" w:ascii="仿宋" w:hAnsi="仿宋" w:eastAsia="仿宋" w:cs="仿宋"/>
          <w:b/>
          <w:sz w:val="28"/>
          <w:szCs w:val="28"/>
        </w:rPr>
        <w:t>四、付款方式</w:t>
      </w:r>
      <w:bookmarkEnd w:id="7"/>
    </w:p>
    <w:p w14:paraId="6D259B09">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技术服务费总额为：￥</w:t>
      </w:r>
      <w:r>
        <w:rPr>
          <w:rFonts w:hint="eastAsia" w:ascii="仿宋" w:hAnsi="仿宋" w:eastAsia="仿宋" w:cs="仿宋"/>
          <w:sz w:val="28"/>
          <w:szCs w:val="28"/>
          <w:lang w:val="en-US" w:eastAsia="zh-CN"/>
        </w:rPr>
        <w:t>50</w:t>
      </w:r>
      <w:r>
        <w:rPr>
          <w:rFonts w:hint="eastAsia" w:ascii="仿宋" w:hAnsi="仿宋" w:eastAsia="仿宋" w:cs="仿宋"/>
          <w:sz w:val="28"/>
          <w:szCs w:val="28"/>
        </w:rPr>
        <w:t>000元（伍</w:t>
      </w:r>
      <w:r>
        <w:rPr>
          <w:rFonts w:hint="eastAsia" w:ascii="仿宋" w:hAnsi="仿宋" w:eastAsia="仿宋" w:cs="仿宋"/>
          <w:sz w:val="28"/>
          <w:szCs w:val="28"/>
          <w:lang w:val="en-US" w:eastAsia="zh-CN"/>
        </w:rPr>
        <w:t>万元</w:t>
      </w:r>
      <w:r>
        <w:rPr>
          <w:rFonts w:hint="eastAsia" w:ascii="仿宋" w:hAnsi="仿宋" w:eastAsia="仿宋" w:cs="仿宋"/>
          <w:sz w:val="28"/>
          <w:szCs w:val="28"/>
        </w:rPr>
        <w:t>整）。该价格为含税价，甲方不再另行向乙方支付任何服务费用。</w:t>
      </w:r>
    </w:p>
    <w:p w14:paraId="74D9D0B2">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支付方式：</w:t>
      </w:r>
    </w:p>
    <w:p w14:paraId="5530E0A0">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（1）合同签订后10个工作日内，甲方向乙方支付合同</w:t>
      </w:r>
      <w:r>
        <w:rPr>
          <w:rFonts w:hint="eastAsia" w:ascii="仿宋" w:hAnsi="仿宋" w:eastAsia="仿宋" w:cs="仿宋"/>
          <w:sz w:val="28"/>
          <w:szCs w:val="28"/>
          <w:lang w:eastAsia="zh-CN"/>
        </w:rPr>
        <w:t>价款</w:t>
      </w:r>
      <w:r>
        <w:rPr>
          <w:rFonts w:hint="eastAsia" w:ascii="仿宋" w:hAnsi="仿宋" w:eastAsia="仿宋" w:cs="仿宋"/>
          <w:sz w:val="28"/>
          <w:szCs w:val="28"/>
          <w:lang w:val="en-US" w:eastAsia="zh-CN"/>
        </w:rPr>
        <w:t>30%，即</w:t>
      </w:r>
      <w:r>
        <w:rPr>
          <w:rFonts w:hint="eastAsia" w:ascii="仿宋" w:hAnsi="仿宋" w:eastAsia="仿宋" w:cs="仿宋"/>
          <w:sz w:val="28"/>
          <w:szCs w:val="28"/>
        </w:rPr>
        <w:t>人民币￥</w:t>
      </w:r>
      <w:r>
        <w:rPr>
          <w:rFonts w:hint="eastAsia" w:ascii="仿宋" w:hAnsi="仿宋" w:eastAsia="仿宋" w:cs="仿宋"/>
          <w:sz w:val="28"/>
          <w:szCs w:val="28"/>
          <w:lang w:val="en-US" w:eastAsia="zh-CN"/>
        </w:rPr>
        <w:t>15</w:t>
      </w:r>
      <w:r>
        <w:rPr>
          <w:rFonts w:hint="eastAsia" w:ascii="仿宋" w:hAnsi="仿宋" w:eastAsia="仿宋" w:cs="仿宋"/>
          <w:sz w:val="28"/>
          <w:szCs w:val="28"/>
        </w:rPr>
        <w:t>000元（</w:t>
      </w:r>
      <w:r>
        <w:rPr>
          <w:rFonts w:hint="eastAsia" w:ascii="仿宋" w:hAnsi="仿宋" w:eastAsia="仿宋" w:cs="仿宋"/>
          <w:sz w:val="28"/>
          <w:szCs w:val="28"/>
          <w:lang w:val="en-US" w:eastAsia="zh-CN"/>
        </w:rPr>
        <w:t>壹万伍仟元</w:t>
      </w:r>
      <w:r>
        <w:rPr>
          <w:rFonts w:hint="eastAsia" w:ascii="仿宋" w:hAnsi="仿宋" w:eastAsia="仿宋" w:cs="仿宋"/>
          <w:sz w:val="28"/>
          <w:szCs w:val="28"/>
        </w:rPr>
        <w:t>整）</w:t>
      </w:r>
      <w:r>
        <w:rPr>
          <w:rFonts w:hint="eastAsia" w:ascii="仿宋" w:hAnsi="仿宋" w:eastAsia="仿宋" w:cs="仿宋"/>
          <w:sz w:val="28"/>
          <w:szCs w:val="28"/>
          <w:lang w:eastAsia="zh-CN"/>
        </w:rPr>
        <w:t>合同款，</w:t>
      </w:r>
      <w:r>
        <w:rPr>
          <w:rFonts w:hint="eastAsia" w:ascii="仿宋" w:hAnsi="仿宋" w:eastAsia="仿宋" w:cs="仿宋"/>
          <w:sz w:val="28"/>
          <w:szCs w:val="28"/>
        </w:rPr>
        <w:t>乙方未提供符合要求的发票的，甲方有权拒绝付款且不视为甲方违约。</w:t>
      </w:r>
    </w:p>
    <w:p w14:paraId="5B776CF2">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（2）乙方提交本合同约定的所有技术服务工作成果通过验收并收到乙方提交的足额、合法、有效发票后10个工作日内，甲方向乙方支付合同价款的余款，即人民币￥</w:t>
      </w:r>
      <w:r>
        <w:rPr>
          <w:rFonts w:hint="eastAsia" w:ascii="仿宋" w:hAnsi="仿宋" w:eastAsia="仿宋" w:cs="仿宋"/>
          <w:sz w:val="28"/>
          <w:szCs w:val="28"/>
          <w:lang w:val="en-US" w:eastAsia="zh-CN"/>
        </w:rPr>
        <w:t>35</w:t>
      </w:r>
      <w:r>
        <w:rPr>
          <w:rFonts w:hint="eastAsia" w:ascii="仿宋" w:hAnsi="仿宋" w:eastAsia="仿宋" w:cs="仿宋"/>
          <w:sz w:val="28"/>
          <w:szCs w:val="28"/>
        </w:rPr>
        <w:t>000元（</w:t>
      </w:r>
      <w:r>
        <w:rPr>
          <w:rFonts w:hint="eastAsia" w:ascii="仿宋" w:hAnsi="仿宋" w:eastAsia="仿宋" w:cs="仿宋"/>
          <w:sz w:val="28"/>
          <w:szCs w:val="28"/>
          <w:lang w:val="en-US" w:eastAsia="zh-CN"/>
        </w:rPr>
        <w:t>叁万伍仟元</w:t>
      </w:r>
      <w:r>
        <w:rPr>
          <w:rFonts w:hint="eastAsia" w:ascii="仿宋" w:hAnsi="仿宋" w:eastAsia="仿宋" w:cs="仿宋"/>
          <w:sz w:val="28"/>
          <w:szCs w:val="28"/>
        </w:rPr>
        <w:t>整）合同款。乙方未提供符合要求的发票的，甲方有权拒绝付款且不视为甲方违约。</w:t>
      </w:r>
    </w:p>
    <w:p w14:paraId="697072A4">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（3）付款方式：采用银行汇付（含电汇）形式。</w:t>
      </w:r>
    </w:p>
    <w:p w14:paraId="308560F1">
      <w:pPr>
        <w:keepNext w:val="0"/>
        <w:keepLines w:val="0"/>
        <w:pageBreakBefore w:val="0"/>
        <w:widowControl w:val="0"/>
        <w:kinsoku/>
        <w:wordWrap/>
        <w:overflowPunct/>
        <w:topLinePunct w:val="0"/>
        <w:autoSpaceDE/>
        <w:autoSpaceDN/>
        <w:bidi w:val="0"/>
        <w:adjustRightInd w:val="0"/>
        <w:snapToGrid w:val="0"/>
        <w:spacing w:before="320" w:after="120" w:line="440" w:lineRule="exact"/>
        <w:ind w:left="0" w:firstLine="562" w:firstLineChars="200"/>
        <w:jc w:val="left"/>
        <w:textAlignment w:val="auto"/>
        <w:outlineLvl w:val="1"/>
        <w:rPr>
          <w:rFonts w:hint="eastAsia" w:ascii="仿宋" w:hAnsi="仿宋" w:eastAsia="仿宋" w:cs="仿宋"/>
          <w:sz w:val="28"/>
          <w:szCs w:val="28"/>
        </w:rPr>
      </w:pPr>
      <w:bookmarkStart w:id="8" w:name="heading_9"/>
      <w:r>
        <w:rPr>
          <w:rFonts w:hint="eastAsia" w:ascii="仿宋" w:hAnsi="仿宋" w:eastAsia="仿宋" w:cs="仿宋"/>
          <w:b/>
          <w:sz w:val="28"/>
          <w:szCs w:val="28"/>
        </w:rPr>
        <w:t>五、采购需求内容</w:t>
      </w:r>
      <w:bookmarkEnd w:id="8"/>
    </w:p>
    <w:p w14:paraId="79965A47">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left="0" w:firstLine="560" w:firstLineChars="200"/>
        <w:jc w:val="left"/>
        <w:textAlignment w:val="auto"/>
        <w:rPr>
          <w:rFonts w:hint="eastAsia" w:ascii="仿宋" w:hAnsi="仿宋" w:eastAsia="仿宋" w:cs="仿宋"/>
          <w:sz w:val="28"/>
          <w:szCs w:val="28"/>
        </w:rPr>
      </w:pPr>
      <w:bookmarkStart w:id="9" w:name="heading_10"/>
      <w:r>
        <w:rPr>
          <w:rFonts w:hint="eastAsia" w:ascii="仿宋" w:hAnsi="仿宋" w:eastAsia="仿宋" w:cs="仿宋"/>
          <w:color w:val="auto"/>
          <w:kern w:val="0"/>
          <w:sz w:val="28"/>
          <w:szCs w:val="28"/>
          <w:lang w:val="en-US" w:eastAsia="zh-CN" w:bidi="ar"/>
        </w:rPr>
        <w:t>聚焦广西交通运输行政执法船舶配备标准制定，开展船型参数与配备数量专项研究，形成贴合广西航道特点与执法需求、具备可操作性的研究成果，为标准编制提供核心技术支撑。需求</w:t>
      </w:r>
      <w:r>
        <w:rPr>
          <w:rFonts w:hint="eastAsia" w:ascii="仿宋" w:hAnsi="仿宋" w:eastAsia="仿宋" w:cs="仿宋"/>
          <w:sz w:val="28"/>
          <w:szCs w:val="28"/>
          <w:lang w:val="en-US" w:eastAsia="zh-CN"/>
        </w:rPr>
        <w:t>主要内容</w:t>
      </w:r>
      <w:r>
        <w:rPr>
          <w:rFonts w:hint="eastAsia" w:ascii="仿宋" w:hAnsi="仿宋" w:eastAsia="仿宋" w:cs="仿宋"/>
          <w:sz w:val="28"/>
          <w:szCs w:val="28"/>
        </w:rPr>
        <w:t>如下：</w:t>
      </w:r>
    </w:p>
    <w:p w14:paraId="66681E90">
      <w:pPr>
        <w:keepNext w:val="0"/>
        <w:keepLines w:val="0"/>
        <w:widowControl w:val="0"/>
        <w:suppressLineNumbers w:val="0"/>
        <w:pBdr>
          <w:top w:val="none" w:color="auto" w:sz="0" w:space="0"/>
          <w:left w:val="none" w:color="auto" w:sz="0" w:space="0"/>
          <w:right w:val="none" w:color="auto" w:sz="0" w:space="0"/>
        </w:pBdr>
        <w:adjustRightInd w:val="0"/>
        <w:snapToGrid w:val="0"/>
        <w:spacing w:before="120" w:beforeAutospacing="0" w:after="120" w:afterAutospacing="0" w:line="440" w:lineRule="exact"/>
        <w:ind w:left="0" w:right="0" w:firstLine="562" w:firstLineChars="200"/>
        <w:jc w:val="left"/>
        <w:rPr>
          <w:rFonts w:hint="eastAsia" w:ascii="仿宋" w:hAnsi="仿宋" w:eastAsia="仿宋" w:cs="仿宋"/>
          <w:b/>
          <w:bCs/>
          <w:color w:val="1F2329"/>
          <w:sz w:val="28"/>
          <w:szCs w:val="28"/>
        </w:rPr>
      </w:pPr>
      <w:r>
        <w:rPr>
          <w:rFonts w:hint="eastAsia" w:ascii="仿宋" w:hAnsi="仿宋" w:eastAsia="仿宋" w:cs="仿宋"/>
          <w:b/>
          <w:bCs/>
          <w:color w:val="1F2329"/>
          <w:sz w:val="28"/>
          <w:szCs w:val="28"/>
        </w:rPr>
        <w:t>（一）执法船舶船型分类与</w:t>
      </w:r>
      <w:r>
        <w:rPr>
          <w:rFonts w:hint="eastAsia" w:ascii="仿宋" w:hAnsi="仿宋" w:eastAsia="仿宋" w:cs="仿宋"/>
          <w:b/>
          <w:bCs/>
          <w:color w:val="1F2329"/>
          <w:sz w:val="28"/>
          <w:szCs w:val="28"/>
          <w:lang w:val="en-US" w:eastAsia="zh-CN"/>
        </w:rPr>
        <w:t>主要</w:t>
      </w:r>
      <w:r>
        <w:rPr>
          <w:rFonts w:hint="eastAsia" w:ascii="仿宋" w:hAnsi="仿宋" w:eastAsia="仿宋" w:cs="仿宋"/>
          <w:b/>
          <w:bCs/>
          <w:color w:val="1F2329"/>
          <w:sz w:val="28"/>
          <w:szCs w:val="28"/>
        </w:rPr>
        <w:t>参数研究</w:t>
      </w:r>
    </w:p>
    <w:p w14:paraId="30E724D1">
      <w:pPr>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adjustRightInd w:val="0"/>
        <w:snapToGrid w:val="0"/>
        <w:spacing w:before="120" w:beforeAutospacing="0" w:after="120" w:afterAutospacing="0" w:line="440" w:lineRule="exact"/>
        <w:ind w:left="0" w:right="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结合广西内河及沿海航道等级、通航限制、执法场景，划分船舶等级序列，明确各序列适配范围；研究提出各等级船型的核心技术参数建议值，包括总长、航速、续航力、自持力、抗风力、船体材质、</w:t>
      </w:r>
      <w:r>
        <w:rPr>
          <w:rFonts w:hint="eastAsia" w:ascii="仿宋" w:hAnsi="仿宋" w:eastAsia="仿宋" w:cs="仿宋"/>
          <w:color w:val="auto"/>
          <w:sz w:val="28"/>
          <w:szCs w:val="28"/>
          <w:lang w:val="en-US" w:eastAsia="zh-CN"/>
        </w:rPr>
        <w:t>主机功率</w:t>
      </w:r>
      <w:r>
        <w:rPr>
          <w:rFonts w:hint="eastAsia" w:ascii="仿宋" w:hAnsi="仿宋" w:eastAsia="仿宋" w:cs="仿宋"/>
          <w:color w:val="auto"/>
          <w:sz w:val="28"/>
          <w:szCs w:val="28"/>
        </w:rPr>
        <w:t>及执法专属装备配置要求。</w:t>
      </w:r>
    </w:p>
    <w:p w14:paraId="4861AC54">
      <w:pPr>
        <w:keepNext w:val="0"/>
        <w:keepLines w:val="0"/>
        <w:widowControl w:val="0"/>
        <w:suppressLineNumbers w:val="0"/>
        <w:pBdr>
          <w:top w:val="none" w:color="auto" w:sz="0" w:space="0"/>
          <w:left w:val="none" w:color="auto" w:sz="0" w:space="0"/>
          <w:right w:val="none" w:color="auto" w:sz="0" w:space="0"/>
        </w:pBdr>
        <w:adjustRightInd w:val="0"/>
        <w:snapToGrid w:val="0"/>
        <w:spacing w:before="120" w:beforeAutospacing="0" w:after="120" w:afterAutospacing="0" w:line="440" w:lineRule="exact"/>
        <w:ind w:left="0" w:right="0" w:firstLine="562" w:firstLineChars="200"/>
        <w:jc w:val="left"/>
        <w:rPr>
          <w:rFonts w:hint="eastAsia" w:ascii="仿宋" w:hAnsi="仿宋" w:eastAsia="仿宋" w:cs="仿宋"/>
          <w:b/>
          <w:bCs/>
          <w:color w:val="1F2329"/>
          <w:sz w:val="28"/>
          <w:szCs w:val="28"/>
        </w:rPr>
      </w:pPr>
      <w:r>
        <w:rPr>
          <w:rFonts w:hint="eastAsia" w:ascii="仿宋" w:hAnsi="仿宋" w:eastAsia="仿宋" w:cs="仿宋"/>
          <w:b/>
          <w:bCs/>
          <w:color w:val="1F2329"/>
          <w:sz w:val="28"/>
          <w:szCs w:val="28"/>
        </w:rPr>
        <w:t>（二）执法船舶配备数量测算研究</w:t>
      </w:r>
    </w:p>
    <w:p w14:paraId="43D96DFE">
      <w:pPr>
        <w:keepNext w:val="0"/>
        <w:keepLines w:val="0"/>
        <w:pageBreakBefore w:val="0"/>
        <w:widowControl w:val="0"/>
        <w:kinsoku/>
        <w:wordWrap/>
        <w:overflowPunct/>
        <w:topLinePunct w:val="0"/>
        <w:autoSpaceDE/>
        <w:autoSpaceDN/>
        <w:bidi w:val="0"/>
        <w:adjustRightInd w:val="0"/>
        <w:snapToGrid w:val="0"/>
        <w:spacing w:before="120" w:after="120" w:line="440" w:lineRule="exact"/>
        <w:ind w:left="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color w:val="auto"/>
          <w:sz w:val="28"/>
          <w:szCs w:val="28"/>
        </w:rPr>
        <w:t>基于广西各辖区航道里程、水域面积、港口数量、风险等级等因素，建立差异化配备数量测算模型，明确配置基准指标</w:t>
      </w:r>
      <w:r>
        <w:rPr>
          <w:rFonts w:hint="eastAsia" w:ascii="仿宋" w:hAnsi="仿宋" w:eastAsia="仿宋" w:cs="仿宋"/>
          <w:color w:val="auto"/>
          <w:sz w:val="28"/>
          <w:szCs w:val="28"/>
          <w:lang w:val="en-US" w:eastAsia="zh-CN"/>
        </w:rPr>
        <w:t>与</w:t>
      </w:r>
      <w:r>
        <w:rPr>
          <w:rFonts w:hint="eastAsia" w:ascii="仿宋" w:hAnsi="仿宋" w:eastAsia="仿宋" w:cs="仿宋"/>
          <w:color w:val="auto"/>
          <w:sz w:val="28"/>
          <w:szCs w:val="28"/>
        </w:rPr>
        <w:t>配置数量建议。</w:t>
      </w:r>
    </w:p>
    <w:bookmarkEnd w:id="9"/>
    <w:p w14:paraId="4C137A53">
      <w:pPr>
        <w:keepNext w:val="0"/>
        <w:keepLines w:val="0"/>
        <w:pageBreakBefore w:val="0"/>
        <w:widowControl w:val="0"/>
        <w:kinsoku/>
        <w:wordWrap/>
        <w:overflowPunct/>
        <w:topLinePunct w:val="0"/>
        <w:autoSpaceDE/>
        <w:autoSpaceDN/>
        <w:bidi w:val="0"/>
        <w:adjustRightInd w:val="0"/>
        <w:snapToGrid w:val="0"/>
        <w:spacing w:before="120" w:after="120" w:line="440" w:lineRule="exact"/>
        <w:ind w:left="0" w:firstLine="562" w:firstLineChars="200"/>
        <w:jc w:val="left"/>
        <w:textAlignment w:val="auto"/>
        <w:outlineLvl w:val="9"/>
        <w:rPr>
          <w:rFonts w:hint="eastAsia" w:ascii="仿宋" w:hAnsi="仿宋" w:eastAsia="仿宋" w:cs="仿宋"/>
          <w:b/>
          <w:bCs/>
          <w:sz w:val="28"/>
          <w:szCs w:val="28"/>
        </w:rPr>
      </w:pPr>
      <w:bookmarkStart w:id="10" w:name="heading_13"/>
      <w:r>
        <w:rPr>
          <w:rFonts w:hint="eastAsia" w:ascii="仿宋" w:hAnsi="仿宋" w:eastAsia="仿宋" w:cs="仿宋"/>
          <w:b/>
          <w:bCs/>
          <w:sz w:val="28"/>
          <w:szCs w:val="28"/>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项目</w:t>
      </w:r>
      <w:r>
        <w:rPr>
          <w:rFonts w:hint="eastAsia" w:ascii="仿宋" w:hAnsi="仿宋" w:eastAsia="仿宋" w:cs="仿宋"/>
          <w:b/>
          <w:bCs/>
          <w:sz w:val="28"/>
          <w:szCs w:val="28"/>
        </w:rPr>
        <w:t>最终交付物（全套咨询报告，共</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份）</w:t>
      </w:r>
      <w:bookmarkEnd w:id="10"/>
    </w:p>
    <w:p w14:paraId="5FB81AFF">
      <w:pPr>
        <w:keepNext w:val="0"/>
        <w:keepLines w:val="0"/>
        <w:widowControl w:val="0"/>
        <w:suppressLineNumbers w:val="0"/>
        <w:pBdr>
          <w:top w:val="none" w:color="auto" w:sz="0" w:space="0"/>
          <w:left w:val="none" w:color="auto" w:sz="0" w:space="0"/>
          <w:bottom w:val="none" w:color="auto" w:sz="0" w:space="0"/>
          <w:right w:val="none" w:color="auto" w:sz="0" w:space="0"/>
        </w:pBdr>
        <w:adjustRightInd w:val="0"/>
        <w:snapToGrid w:val="0"/>
        <w:spacing w:before="120" w:beforeAutospacing="0" w:after="120" w:afterAutospacing="0" w:line="440" w:lineRule="exact"/>
        <w:ind w:left="0" w:right="0"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kern w:val="0"/>
          <w:sz w:val="28"/>
          <w:szCs w:val="28"/>
          <w:lang w:val="en-US" w:eastAsia="zh-CN" w:bidi="ar"/>
        </w:rPr>
        <w:t>广西交通运输行政执法船舶配备标准</w:t>
      </w:r>
      <w:r>
        <w:rPr>
          <w:rFonts w:hint="eastAsia" w:ascii="仿宋" w:hAnsi="仿宋" w:eastAsia="仿宋" w:cs="仿宋"/>
          <w:color w:val="auto"/>
          <w:sz w:val="28"/>
          <w:szCs w:val="28"/>
        </w:rPr>
        <w:t>》纸质成果（一式</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rPr>
        <w:t>份）；电子版成果（1 份，含PDF及可编辑格式）</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上述报告及参数对比表、测算模型、佐证数据等材料</w:t>
      </w:r>
      <w:r>
        <w:rPr>
          <w:rFonts w:hint="eastAsia" w:ascii="仿宋" w:hAnsi="仿宋" w:eastAsia="仿宋" w:cs="仿宋"/>
          <w:color w:val="auto"/>
          <w:sz w:val="28"/>
          <w:szCs w:val="28"/>
          <w:lang w:eastAsia="zh-CN"/>
        </w:rPr>
        <w:t>。</w:t>
      </w:r>
    </w:p>
    <w:p w14:paraId="335EB95F">
      <w:pPr>
        <w:keepNext w:val="0"/>
        <w:keepLines w:val="0"/>
        <w:pageBreakBefore w:val="0"/>
        <w:widowControl w:val="0"/>
        <w:kinsoku/>
        <w:wordWrap/>
        <w:overflowPunct/>
        <w:topLinePunct w:val="0"/>
        <w:autoSpaceDE/>
        <w:autoSpaceDN/>
        <w:bidi w:val="0"/>
        <w:adjustRightInd w:val="0"/>
        <w:snapToGrid w:val="0"/>
        <w:spacing w:before="320" w:after="120" w:line="440" w:lineRule="exact"/>
        <w:ind w:left="0" w:firstLine="562" w:firstLineChars="200"/>
        <w:jc w:val="left"/>
        <w:textAlignment w:val="auto"/>
        <w:outlineLvl w:val="1"/>
        <w:rPr>
          <w:rFonts w:hint="eastAsia" w:ascii="仿宋" w:hAnsi="仿宋" w:eastAsia="仿宋" w:cs="仿宋"/>
          <w:sz w:val="28"/>
          <w:szCs w:val="28"/>
        </w:rPr>
      </w:pPr>
      <w:bookmarkStart w:id="11" w:name="heading_14"/>
      <w:r>
        <w:rPr>
          <w:rFonts w:hint="eastAsia" w:ascii="仿宋" w:hAnsi="仿宋" w:eastAsia="仿宋" w:cs="仿宋"/>
          <w:b/>
          <w:sz w:val="28"/>
          <w:szCs w:val="28"/>
        </w:rPr>
        <w:t>六、报价文件组成内容</w:t>
      </w:r>
      <w:bookmarkEnd w:id="11"/>
    </w:p>
    <w:p w14:paraId="6BBB524B">
      <w:pPr>
        <w:keepNext w:val="0"/>
        <w:keepLines w:val="0"/>
        <w:pageBreakBefore w:val="0"/>
        <w:widowControl w:val="0"/>
        <w:kinsoku/>
        <w:wordWrap/>
        <w:overflowPunct/>
        <w:topLinePunct w:val="0"/>
        <w:autoSpaceDE/>
        <w:autoSpaceDN/>
        <w:bidi w:val="0"/>
        <w:adjustRightInd w:val="0"/>
        <w:snapToGrid w:val="0"/>
        <w:spacing w:before="120" w:after="120" w:line="44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供应商须按以下顺序编制报价文件（一式五份，正本1份、副本4份），所有复印件均需加盖单位公章，文件需装订成册并标注正本/副本；未按要求提供的，视为报价文件无效：</w:t>
      </w:r>
    </w:p>
    <w:p w14:paraId="6AF25319">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《营业执照》复印件（事业单位提供</w:t>
      </w:r>
      <w:r>
        <w:rPr>
          <w:rFonts w:hint="eastAsia" w:ascii="仿宋" w:hAnsi="仿宋" w:eastAsia="仿宋" w:cs="仿宋"/>
          <w:sz w:val="28"/>
          <w:szCs w:val="28"/>
          <w:lang w:eastAsia="zh-CN"/>
        </w:rPr>
        <w:t>机构代码证</w:t>
      </w:r>
      <w:r>
        <w:rPr>
          <w:rFonts w:hint="eastAsia" w:ascii="仿宋" w:hAnsi="仿宋" w:eastAsia="仿宋" w:cs="仿宋"/>
          <w:sz w:val="28"/>
          <w:szCs w:val="28"/>
        </w:rPr>
        <w:t>复印件）；</w:t>
      </w:r>
    </w:p>
    <w:p w14:paraId="00C0FE38">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法定代表人身份证</w:t>
      </w:r>
      <w:r>
        <w:rPr>
          <w:rFonts w:hint="eastAsia" w:ascii="仿宋" w:hAnsi="仿宋" w:eastAsia="仿宋" w:cs="仿宋"/>
          <w:sz w:val="28"/>
          <w:szCs w:val="28"/>
          <w:lang w:eastAsia="zh-CN"/>
        </w:rPr>
        <w:t>复印</w:t>
      </w:r>
      <w:r>
        <w:rPr>
          <w:rFonts w:hint="eastAsia" w:ascii="仿宋" w:hAnsi="仿宋" w:eastAsia="仿宋" w:cs="仿宋"/>
          <w:sz w:val="28"/>
          <w:szCs w:val="28"/>
        </w:rPr>
        <w:t>件；</w:t>
      </w:r>
    </w:p>
    <w:p w14:paraId="40E268CE">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法定代表人委托授权书复印件（如非法定代表人参与报价，需提供原件）及授权人身份证复印件；</w:t>
      </w:r>
    </w:p>
    <w:p w14:paraId="7CDFDF18">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报价表（格式见附件2，需法定代表人/授权人签字并加盖公章）；</w:t>
      </w:r>
    </w:p>
    <w:p w14:paraId="548527BB">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信用记录查询结果截图（“信用中国”网站，报价文件递交前7日内）；</w:t>
      </w:r>
    </w:p>
    <w:p w14:paraId="0422058E">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船舶设计、建造或检验相关研究/工程资历证明材料；</w:t>
      </w:r>
    </w:p>
    <w:p w14:paraId="52018291">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在册船舶工程</w:t>
      </w:r>
      <w:r>
        <w:rPr>
          <w:rFonts w:hint="eastAsia" w:ascii="仿宋" w:hAnsi="仿宋" w:eastAsia="仿宋" w:cs="仿宋"/>
          <w:sz w:val="28"/>
          <w:szCs w:val="28"/>
          <w:lang w:eastAsia="zh-CN"/>
        </w:rPr>
        <w:t>、</w:t>
      </w:r>
      <w:r>
        <w:rPr>
          <w:rFonts w:hint="eastAsia" w:ascii="仿宋" w:hAnsi="仿宋" w:eastAsia="仿宋" w:cs="仿宋"/>
          <w:sz w:val="28"/>
          <w:szCs w:val="28"/>
        </w:rPr>
        <w:t>轮机工程</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航道工程、航海技术及船舶电气专业</w:t>
      </w:r>
      <w:r>
        <w:rPr>
          <w:rFonts w:hint="eastAsia" w:ascii="仿宋" w:hAnsi="仿宋" w:eastAsia="仿宋" w:cs="仿宋"/>
          <w:sz w:val="28"/>
          <w:szCs w:val="28"/>
        </w:rPr>
        <w:t>相关技术人员资料（名单、职称证书、最近半年社保凭证）；</w:t>
      </w:r>
    </w:p>
    <w:p w14:paraId="10E285B1">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技术服务方案（含研究的实施计划、技术路线、研究方法、进度安排、质量保障措施等）；</w:t>
      </w:r>
    </w:p>
    <w:p w14:paraId="0A43C001">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售后服务承诺函（原件，需明确服务内容、响应时限、成果落地及立项辅助服务保障措施）</w:t>
      </w:r>
      <w:r>
        <w:rPr>
          <w:rFonts w:hint="eastAsia" w:ascii="仿宋" w:hAnsi="仿宋" w:eastAsia="仿宋" w:cs="仿宋"/>
          <w:sz w:val="28"/>
          <w:szCs w:val="28"/>
          <w:lang w:eastAsia="zh-CN"/>
        </w:rPr>
        <w:t>（格式自拟）</w:t>
      </w:r>
      <w:r>
        <w:rPr>
          <w:rFonts w:hint="eastAsia" w:ascii="仿宋" w:hAnsi="仿宋" w:eastAsia="仿宋" w:cs="仿宋"/>
          <w:sz w:val="28"/>
          <w:szCs w:val="28"/>
        </w:rPr>
        <w:t>；</w:t>
      </w:r>
    </w:p>
    <w:p w14:paraId="4C958E2F">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业绩证明材料（立项合同、结题证明、奖项证书、科研平台证明等复印件）；</w:t>
      </w:r>
    </w:p>
    <w:p w14:paraId="628BB319">
      <w:pPr>
        <w:keepNext w:val="0"/>
        <w:keepLines w:val="0"/>
        <w:pageBreakBefore w:val="0"/>
        <w:widowControl w:val="0"/>
        <w:numPr>
          <w:ilvl w:val="0"/>
          <w:numId w:val="0"/>
        </w:numPr>
        <w:kinsoku/>
        <w:wordWrap/>
        <w:overflowPunct/>
        <w:topLinePunct w:val="0"/>
        <w:autoSpaceDE/>
        <w:autoSpaceDN/>
        <w:bidi w:val="0"/>
        <w:adjustRightInd w:val="0"/>
        <w:snapToGrid w:val="0"/>
        <w:spacing w:before="120" w:after="120"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供应商认为需要提供的其他补充材料。</w:t>
      </w:r>
    </w:p>
    <w:p w14:paraId="522D2F80">
      <w:pPr>
        <w:keepNext w:val="0"/>
        <w:keepLines w:val="0"/>
        <w:pageBreakBefore w:val="0"/>
        <w:widowControl w:val="0"/>
        <w:kinsoku/>
        <w:wordWrap/>
        <w:overflowPunct/>
        <w:topLinePunct w:val="0"/>
        <w:autoSpaceDE/>
        <w:autoSpaceDN/>
        <w:bidi w:val="0"/>
        <w:adjustRightInd w:val="0"/>
        <w:snapToGrid w:val="0"/>
        <w:spacing w:before="320" w:after="120" w:line="440" w:lineRule="exact"/>
        <w:ind w:firstLine="562" w:firstLineChars="200"/>
        <w:jc w:val="left"/>
        <w:textAlignment w:val="auto"/>
        <w:outlineLvl w:val="1"/>
        <w:rPr>
          <w:rFonts w:hint="eastAsia" w:ascii="仿宋" w:hAnsi="仿宋" w:eastAsia="仿宋" w:cs="仿宋"/>
          <w:sz w:val="28"/>
          <w:szCs w:val="28"/>
        </w:rPr>
      </w:pPr>
      <w:bookmarkStart w:id="12" w:name="heading_15"/>
      <w:r>
        <w:rPr>
          <w:rFonts w:hint="eastAsia" w:ascii="仿宋" w:hAnsi="仿宋" w:eastAsia="仿宋" w:cs="仿宋"/>
          <w:b/>
          <w:sz w:val="28"/>
          <w:szCs w:val="28"/>
        </w:rPr>
        <w:t>七、其他须知事项</w:t>
      </w:r>
      <w:bookmarkEnd w:id="12"/>
    </w:p>
    <w:p w14:paraId="092B4EAF">
      <w:pPr>
        <w:keepNext w:val="0"/>
        <w:keepLines w:val="0"/>
        <w:pageBreakBefore w:val="0"/>
        <w:widowControl w:val="0"/>
        <w:numPr>
          <w:ilvl w:val="0"/>
          <w:numId w:val="1"/>
        </w:numPr>
        <w:kinsoku/>
        <w:wordWrap/>
        <w:overflowPunct/>
        <w:topLinePunct w:val="0"/>
        <w:autoSpaceDE/>
        <w:autoSpaceDN/>
        <w:bidi w:val="0"/>
        <w:adjustRightInd w:val="0"/>
        <w:snapToGrid w:val="0"/>
        <w:spacing w:before="120" w:after="120" w:line="440" w:lineRule="exact"/>
        <w:ind w:left="0" w:leftChars="0" w:firstLine="400" w:firstLineChars="0"/>
        <w:jc w:val="left"/>
        <w:textAlignment w:val="auto"/>
        <w:rPr>
          <w:rFonts w:hint="eastAsia" w:ascii="仿宋" w:hAnsi="仿宋" w:eastAsia="仿宋" w:cs="仿宋"/>
          <w:sz w:val="28"/>
          <w:szCs w:val="28"/>
        </w:rPr>
      </w:pPr>
      <w:r>
        <w:rPr>
          <w:rFonts w:hint="eastAsia" w:ascii="仿宋" w:hAnsi="仿宋" w:eastAsia="仿宋" w:cs="仿宋"/>
          <w:b/>
          <w:sz w:val="28"/>
          <w:szCs w:val="28"/>
        </w:rPr>
        <w:t>报价文件递交截止时间</w:t>
      </w:r>
      <w:r>
        <w:rPr>
          <w:rFonts w:hint="eastAsia" w:ascii="仿宋" w:hAnsi="仿宋" w:eastAsia="仿宋" w:cs="仿宋"/>
          <w:sz w:val="28"/>
          <w:szCs w:val="28"/>
        </w:rPr>
        <w:t>：2026年3月</w:t>
      </w:r>
      <w:r>
        <w:rPr>
          <w:rFonts w:hint="eastAsia" w:ascii="仿宋" w:hAnsi="仿宋" w:eastAsia="仿宋" w:cs="仿宋"/>
          <w:sz w:val="28"/>
          <w:szCs w:val="28"/>
          <w:lang w:val="en-US" w:eastAsia="zh-CN"/>
        </w:rPr>
        <w:t>17</w:t>
      </w:r>
      <w:r>
        <w:rPr>
          <w:rFonts w:hint="eastAsia" w:ascii="仿宋" w:hAnsi="仿宋" w:eastAsia="仿宋" w:cs="仿宋"/>
          <w:sz w:val="28"/>
          <w:szCs w:val="28"/>
        </w:rPr>
        <w:t>日</w:t>
      </w:r>
      <w:r>
        <w:rPr>
          <w:rFonts w:hint="eastAsia" w:ascii="仿宋" w:hAnsi="仿宋" w:eastAsia="仿宋" w:cs="仿宋"/>
          <w:b/>
          <w:sz w:val="28"/>
          <w:szCs w:val="28"/>
        </w:rPr>
        <w:t>上午10:00</w:t>
      </w:r>
      <w:r>
        <w:rPr>
          <w:rFonts w:hint="eastAsia" w:ascii="仿宋" w:hAnsi="仿宋" w:eastAsia="仿宋" w:cs="仿宋"/>
          <w:sz w:val="28"/>
          <w:szCs w:val="28"/>
        </w:rPr>
        <w:t>，逾期送达、未按要求密封的报价文件，采购方一律拒收；</w:t>
      </w:r>
    </w:p>
    <w:p w14:paraId="3D8DD9D8">
      <w:pPr>
        <w:keepNext w:val="0"/>
        <w:keepLines w:val="0"/>
        <w:pageBreakBefore w:val="0"/>
        <w:widowControl w:val="0"/>
        <w:numPr>
          <w:ilvl w:val="0"/>
          <w:numId w:val="1"/>
        </w:numPr>
        <w:kinsoku/>
        <w:wordWrap/>
        <w:overflowPunct/>
        <w:topLinePunct w:val="0"/>
        <w:autoSpaceDE/>
        <w:autoSpaceDN/>
        <w:bidi w:val="0"/>
        <w:adjustRightInd w:val="0"/>
        <w:snapToGrid w:val="0"/>
        <w:spacing w:before="120" w:after="120" w:line="440" w:lineRule="exact"/>
        <w:ind w:left="0" w:leftChars="0" w:firstLine="400" w:firstLineChars="0"/>
        <w:jc w:val="left"/>
        <w:textAlignment w:val="auto"/>
        <w:rPr>
          <w:rFonts w:hint="eastAsia" w:ascii="仿宋" w:hAnsi="仿宋" w:eastAsia="仿宋" w:cs="仿宋"/>
          <w:sz w:val="28"/>
          <w:szCs w:val="28"/>
        </w:rPr>
      </w:pPr>
      <w:r>
        <w:rPr>
          <w:rFonts w:hint="eastAsia" w:ascii="仿宋" w:hAnsi="仿宋" w:eastAsia="仿宋" w:cs="仿宋"/>
          <w:b/>
          <w:sz w:val="28"/>
          <w:szCs w:val="28"/>
        </w:rPr>
        <w:t>报价文件密封要求</w:t>
      </w:r>
      <w:r>
        <w:rPr>
          <w:rFonts w:hint="eastAsia" w:ascii="仿宋" w:hAnsi="仿宋" w:eastAsia="仿宋" w:cs="仿宋"/>
          <w:sz w:val="28"/>
          <w:szCs w:val="28"/>
        </w:rPr>
        <w:t>：将装订成册的报价文件放入密封信封，信封封口处加贴密封条并加盖供应商单位公章，信封封面注明“执法</w:t>
      </w:r>
      <w:r>
        <w:rPr>
          <w:rFonts w:hint="eastAsia" w:ascii="仿宋" w:hAnsi="仿宋" w:eastAsia="仿宋" w:cs="仿宋"/>
          <w:sz w:val="28"/>
          <w:szCs w:val="28"/>
          <w:lang w:eastAsia="zh-CN"/>
        </w:rPr>
        <w:t>船舶</w:t>
      </w:r>
      <w:r>
        <w:rPr>
          <w:rFonts w:hint="eastAsia" w:ascii="仿宋" w:hAnsi="仿宋" w:eastAsia="仿宋" w:cs="仿宋"/>
          <w:sz w:val="28"/>
          <w:szCs w:val="28"/>
        </w:rPr>
        <w:t>配备</w:t>
      </w:r>
      <w:r>
        <w:rPr>
          <w:rFonts w:hint="eastAsia" w:ascii="仿宋" w:hAnsi="仿宋" w:eastAsia="仿宋" w:cs="仿宋"/>
          <w:sz w:val="28"/>
          <w:szCs w:val="28"/>
          <w:lang w:eastAsia="zh-CN"/>
        </w:rPr>
        <w:t>标准</w:t>
      </w:r>
      <w:r>
        <w:rPr>
          <w:rFonts w:hint="eastAsia" w:ascii="仿宋" w:hAnsi="仿宋" w:eastAsia="仿宋" w:cs="仿宋"/>
          <w:sz w:val="28"/>
          <w:szCs w:val="28"/>
        </w:rPr>
        <w:t>研究报价文件”、供应商名称、联系电话、正本/副本；</w:t>
      </w:r>
    </w:p>
    <w:p w14:paraId="3F603B2D">
      <w:pPr>
        <w:keepNext w:val="0"/>
        <w:keepLines w:val="0"/>
        <w:pageBreakBefore w:val="0"/>
        <w:widowControl w:val="0"/>
        <w:numPr>
          <w:ilvl w:val="0"/>
          <w:numId w:val="1"/>
        </w:numPr>
        <w:kinsoku/>
        <w:wordWrap/>
        <w:overflowPunct/>
        <w:topLinePunct w:val="0"/>
        <w:autoSpaceDE/>
        <w:autoSpaceDN/>
        <w:bidi w:val="0"/>
        <w:adjustRightInd w:val="0"/>
        <w:snapToGrid w:val="0"/>
        <w:spacing w:before="120" w:after="120" w:line="440" w:lineRule="exact"/>
        <w:ind w:left="0" w:leftChars="0" w:firstLine="400" w:firstLineChars="0"/>
        <w:jc w:val="left"/>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递交地址</w:t>
      </w:r>
      <w:r>
        <w:rPr>
          <w:rFonts w:hint="eastAsia" w:ascii="仿宋" w:hAnsi="仿宋" w:eastAsia="仿宋" w:cs="仿宋"/>
          <w:sz w:val="28"/>
          <w:szCs w:val="28"/>
          <w:highlight w:val="none"/>
        </w:rPr>
        <w:t>：南宁市滨湖路66号公路大厦</w:t>
      </w:r>
      <w:r>
        <w:rPr>
          <w:rFonts w:hint="eastAsia" w:ascii="仿宋" w:hAnsi="仿宋" w:eastAsia="仿宋" w:cs="仿宋"/>
          <w:b/>
          <w:sz w:val="28"/>
          <w:szCs w:val="28"/>
          <w:highlight w:val="none"/>
        </w:rPr>
        <w:t>808室</w:t>
      </w:r>
      <w:r>
        <w:rPr>
          <w:rFonts w:hint="eastAsia" w:ascii="仿宋" w:hAnsi="仿宋" w:eastAsia="仿宋" w:cs="仿宋"/>
          <w:sz w:val="28"/>
          <w:szCs w:val="28"/>
          <w:highlight w:val="none"/>
        </w:rPr>
        <w:t>；</w:t>
      </w:r>
    </w:p>
    <w:p w14:paraId="295C490F">
      <w:pPr>
        <w:widowControl w:val="0"/>
        <w:numPr>
          <w:ilvl w:val="0"/>
          <w:numId w:val="1"/>
        </w:numPr>
        <w:adjustRightInd w:val="0"/>
        <w:snapToGrid w:val="0"/>
        <w:spacing w:before="120" w:after="120" w:line="440" w:lineRule="exact"/>
        <w:ind w:firstLine="400" w:firstLineChars="0"/>
        <w:jc w:val="left"/>
        <w:rPr>
          <w:rFonts w:hint="eastAsia" w:ascii="仿宋" w:hAnsi="仿宋" w:eastAsia="仿宋" w:cs="仿宋"/>
          <w:sz w:val="28"/>
          <w:szCs w:val="28"/>
        </w:rPr>
      </w:pPr>
      <w:r>
        <w:rPr>
          <w:rFonts w:hint="eastAsia" w:ascii="仿宋" w:hAnsi="仿宋" w:eastAsia="仿宋" w:cs="仿宋"/>
          <w:b/>
          <w:sz w:val="28"/>
          <w:szCs w:val="28"/>
          <w:highlight w:val="none"/>
        </w:rPr>
        <w:t>联系人及电话</w:t>
      </w:r>
      <w:r>
        <w:rPr>
          <w:rFonts w:hint="eastAsia" w:ascii="仿宋" w:hAnsi="仿宋" w:eastAsia="仿宋" w:cs="仿宋"/>
          <w:sz w:val="28"/>
          <w:szCs w:val="28"/>
          <w:highlight w:val="none"/>
        </w:rPr>
        <w:t>：邮寄联系人</w:t>
      </w:r>
      <w:r>
        <w:rPr>
          <w:rFonts w:hint="eastAsia" w:ascii="仿宋" w:hAnsi="仿宋" w:eastAsia="仿宋" w:cs="仿宋"/>
          <w:sz w:val="28"/>
          <w:szCs w:val="28"/>
          <w:highlight w:val="none"/>
          <w:lang w:eastAsia="zh-CN"/>
        </w:rPr>
        <w:t>，</w:t>
      </w:r>
      <w:r>
        <w:rPr>
          <w:rFonts w:hint="eastAsia" w:ascii="仿宋_GB2312" w:eastAsia="仿宋_GB2312"/>
          <w:sz w:val="28"/>
          <w:szCs w:val="28"/>
          <w:highlight w:val="none"/>
        </w:rPr>
        <w:t>张微，0771-2115929</w:t>
      </w:r>
      <w:r>
        <w:rPr>
          <w:rFonts w:hint="eastAsia" w:ascii="仿宋_GB2312" w:eastAsia="仿宋_GB2312"/>
          <w:sz w:val="28"/>
          <w:szCs w:val="28"/>
          <w:highlight w:val="none"/>
          <w:lang w:eastAsia="zh-CN"/>
        </w:rPr>
        <w:t>；</w:t>
      </w:r>
      <w:r>
        <w:rPr>
          <w:rFonts w:hint="eastAsia" w:ascii="仿宋" w:hAnsi="仿宋" w:eastAsia="仿宋" w:cs="仿宋"/>
          <w:sz w:val="28"/>
          <w:szCs w:val="28"/>
        </w:rPr>
        <w:t>项目联系人</w:t>
      </w:r>
      <w:r>
        <w:rPr>
          <w:rFonts w:hint="eastAsia" w:ascii="仿宋" w:hAnsi="仿宋" w:eastAsia="仿宋" w:cs="仿宋"/>
          <w:sz w:val="28"/>
          <w:szCs w:val="28"/>
          <w:lang w:eastAsia="zh-CN"/>
        </w:rPr>
        <w:t>，王建花</w:t>
      </w:r>
      <w:r>
        <w:rPr>
          <w:rFonts w:hint="eastAsia" w:ascii="仿宋" w:hAnsi="仿宋" w:eastAsia="仿宋" w:cs="仿宋"/>
          <w:sz w:val="28"/>
          <w:szCs w:val="28"/>
        </w:rPr>
        <w:t>，0771-2115</w:t>
      </w:r>
      <w:r>
        <w:rPr>
          <w:rFonts w:hint="eastAsia" w:ascii="仿宋" w:hAnsi="仿宋" w:eastAsia="仿宋" w:cs="仿宋"/>
          <w:sz w:val="28"/>
          <w:szCs w:val="28"/>
          <w:lang w:val="en-US" w:eastAsia="zh-CN"/>
        </w:rPr>
        <w:t>148；</w:t>
      </w:r>
    </w:p>
    <w:p w14:paraId="3CC07DCD">
      <w:pPr>
        <w:keepNext w:val="0"/>
        <w:keepLines w:val="0"/>
        <w:pageBreakBefore w:val="0"/>
        <w:widowControl w:val="0"/>
        <w:numPr>
          <w:ilvl w:val="0"/>
          <w:numId w:val="1"/>
        </w:numPr>
        <w:kinsoku/>
        <w:wordWrap/>
        <w:overflowPunct/>
        <w:topLinePunct w:val="0"/>
        <w:autoSpaceDE/>
        <w:autoSpaceDN/>
        <w:bidi w:val="0"/>
        <w:adjustRightInd w:val="0"/>
        <w:snapToGrid w:val="0"/>
        <w:spacing w:before="120" w:after="120" w:line="440" w:lineRule="exact"/>
        <w:ind w:left="0" w:leftChars="0" w:firstLine="40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供应商应自行承担所有与准备、编制、递交报价文件相关的费用，无论采购结果如何，采购方不承担任何此类费用；</w:t>
      </w:r>
    </w:p>
    <w:p w14:paraId="2506F1EA">
      <w:pPr>
        <w:keepNext w:val="0"/>
        <w:keepLines w:val="0"/>
        <w:pageBreakBefore w:val="0"/>
        <w:widowControl w:val="0"/>
        <w:numPr>
          <w:ilvl w:val="0"/>
          <w:numId w:val="1"/>
        </w:numPr>
        <w:kinsoku/>
        <w:wordWrap/>
        <w:overflowPunct/>
        <w:topLinePunct w:val="0"/>
        <w:autoSpaceDE/>
        <w:autoSpaceDN/>
        <w:bidi w:val="0"/>
        <w:adjustRightInd w:val="0"/>
        <w:snapToGrid w:val="0"/>
        <w:spacing w:before="120" w:after="120" w:line="440" w:lineRule="exact"/>
        <w:ind w:left="0" w:leftChars="0" w:firstLine="40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采购方有权对供应商提交的资料进行核查，若发现弄虚作假，立即取消其</w:t>
      </w:r>
      <w:r>
        <w:rPr>
          <w:rFonts w:hint="eastAsia" w:ascii="仿宋" w:hAnsi="仿宋" w:eastAsia="仿宋" w:cs="仿宋"/>
          <w:sz w:val="28"/>
          <w:szCs w:val="28"/>
          <w:lang w:eastAsia="zh-CN"/>
        </w:rPr>
        <w:t>询价</w:t>
      </w:r>
      <w:r>
        <w:rPr>
          <w:rFonts w:hint="eastAsia" w:ascii="仿宋" w:hAnsi="仿宋" w:eastAsia="仿宋" w:cs="仿宋"/>
          <w:sz w:val="28"/>
          <w:szCs w:val="28"/>
        </w:rPr>
        <w:t>资格，并列入采购方不良供应商名单，情节严重的将依法追究法律责任；</w:t>
      </w:r>
    </w:p>
    <w:p w14:paraId="1E01422A">
      <w:pPr>
        <w:keepNext w:val="0"/>
        <w:keepLines w:val="0"/>
        <w:pageBreakBefore w:val="0"/>
        <w:widowControl w:val="0"/>
        <w:numPr>
          <w:ilvl w:val="0"/>
          <w:numId w:val="1"/>
        </w:numPr>
        <w:kinsoku/>
        <w:wordWrap/>
        <w:overflowPunct/>
        <w:topLinePunct w:val="0"/>
        <w:autoSpaceDE/>
        <w:autoSpaceDN/>
        <w:bidi w:val="0"/>
        <w:adjustRightInd w:val="0"/>
        <w:snapToGrid w:val="0"/>
        <w:spacing w:before="120" w:after="120" w:line="440" w:lineRule="exact"/>
        <w:ind w:left="0" w:leftChars="0" w:firstLine="40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采购方将对供应商进行资格审查，资格审查不合格的供应商，其报价文件将被否决，不得进入后续评审环节。</w:t>
      </w:r>
    </w:p>
    <w:p w14:paraId="4E64FBE5">
      <w:pPr>
        <w:keepNext w:val="0"/>
        <w:keepLines w:val="0"/>
        <w:pageBreakBefore w:val="0"/>
        <w:widowControl w:val="0"/>
        <w:numPr>
          <w:ilvl w:val="-1"/>
          <w:numId w:val="0"/>
        </w:numPr>
        <w:kinsoku/>
        <w:wordWrap/>
        <w:overflowPunct/>
        <w:topLinePunct w:val="0"/>
        <w:autoSpaceDE/>
        <w:autoSpaceDN/>
        <w:bidi w:val="0"/>
        <w:adjustRightInd w:val="0"/>
        <w:snapToGrid w:val="0"/>
        <w:spacing w:before="320" w:after="120" w:line="440" w:lineRule="exact"/>
        <w:ind w:left="0" w:leftChars="0" w:firstLine="560" w:firstLineChars="200"/>
        <w:jc w:val="left"/>
        <w:textAlignment w:val="auto"/>
        <w:outlineLvl w:val="1"/>
        <w:rPr>
          <w:rFonts w:hint="eastAsia" w:ascii="仿宋" w:hAnsi="仿宋" w:eastAsia="仿宋" w:cs="仿宋"/>
          <w:sz w:val="28"/>
          <w:szCs w:val="28"/>
        </w:rPr>
      </w:pPr>
      <w:bookmarkStart w:id="13" w:name="heading_16"/>
      <w:r>
        <w:rPr>
          <w:rFonts w:hint="eastAsia" w:ascii="仿宋" w:hAnsi="仿宋" w:eastAsia="仿宋" w:cs="仿宋"/>
          <w:b w:val="0"/>
          <w:bCs/>
          <w:sz w:val="28"/>
          <w:szCs w:val="28"/>
        </w:rPr>
        <w:t>附件</w:t>
      </w:r>
      <w:bookmarkEnd w:id="13"/>
      <w:r>
        <w:rPr>
          <w:rFonts w:hint="eastAsia" w:ascii="仿宋" w:hAnsi="仿宋" w:eastAsia="仿宋" w:cs="仿宋"/>
          <w:b w:val="0"/>
          <w:bCs/>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rPr>
        <w:t>评审办法及评分标准；</w:t>
      </w:r>
    </w:p>
    <w:p w14:paraId="75EDA858">
      <w:pPr>
        <w:keepNext w:val="0"/>
        <w:keepLines w:val="0"/>
        <w:pageBreakBefore w:val="0"/>
        <w:widowControl w:val="0"/>
        <w:numPr>
          <w:ilvl w:val="-1"/>
          <w:numId w:val="0"/>
        </w:numPr>
        <w:kinsoku/>
        <w:wordWrap/>
        <w:overflowPunct/>
        <w:topLinePunct w:val="0"/>
        <w:autoSpaceDE/>
        <w:autoSpaceDN/>
        <w:bidi w:val="0"/>
        <w:adjustRightInd w:val="0"/>
        <w:snapToGrid w:val="0"/>
        <w:spacing w:before="120" w:after="120" w:line="440" w:lineRule="exact"/>
        <w:ind w:left="0" w:leftChars="0" w:firstLine="1400" w:firstLineChars="5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执法</w:t>
      </w:r>
      <w:r>
        <w:rPr>
          <w:rFonts w:hint="eastAsia" w:ascii="仿宋" w:hAnsi="仿宋" w:eastAsia="仿宋" w:cs="仿宋"/>
          <w:sz w:val="28"/>
          <w:szCs w:val="28"/>
          <w:lang w:eastAsia="zh-CN"/>
        </w:rPr>
        <w:t>船舶</w:t>
      </w:r>
      <w:r>
        <w:rPr>
          <w:rFonts w:hint="eastAsia" w:ascii="仿宋" w:hAnsi="仿宋" w:eastAsia="仿宋" w:cs="仿宋"/>
          <w:sz w:val="28"/>
          <w:szCs w:val="28"/>
        </w:rPr>
        <w:t>配备</w:t>
      </w:r>
      <w:r>
        <w:rPr>
          <w:rFonts w:hint="eastAsia" w:ascii="仿宋" w:hAnsi="仿宋" w:eastAsia="仿宋" w:cs="仿宋"/>
          <w:sz w:val="28"/>
          <w:szCs w:val="28"/>
          <w:lang w:eastAsia="zh-CN"/>
        </w:rPr>
        <w:t>标准</w:t>
      </w:r>
      <w:r>
        <w:rPr>
          <w:rFonts w:hint="eastAsia" w:ascii="仿宋" w:hAnsi="仿宋" w:eastAsia="仿宋" w:cs="仿宋"/>
          <w:sz w:val="28"/>
          <w:szCs w:val="28"/>
        </w:rPr>
        <w:t>研究报价表。</w:t>
      </w:r>
    </w:p>
    <w:p w14:paraId="371F0BC3">
      <w:pPr>
        <w:keepNext w:val="0"/>
        <w:keepLines w:val="0"/>
        <w:pageBreakBefore w:val="0"/>
        <w:widowControl w:val="0"/>
        <w:numPr>
          <w:ilvl w:val="-1"/>
          <w:numId w:val="0"/>
        </w:numPr>
        <w:kinsoku/>
        <w:wordWrap/>
        <w:overflowPunct/>
        <w:topLinePunct w:val="0"/>
        <w:autoSpaceDE/>
        <w:autoSpaceDN/>
        <w:bidi w:val="0"/>
        <w:adjustRightInd w:val="0"/>
        <w:snapToGrid w:val="0"/>
        <w:spacing w:before="120" w:after="120" w:line="440" w:lineRule="exact"/>
        <w:ind w:left="400" w:firstLine="3080" w:firstLineChars="1100"/>
        <w:jc w:val="left"/>
        <w:textAlignment w:val="auto"/>
        <w:rPr>
          <w:rFonts w:hint="eastAsia" w:ascii="仿宋" w:hAnsi="仿宋" w:eastAsia="仿宋" w:cs="仿宋"/>
          <w:sz w:val="28"/>
          <w:szCs w:val="28"/>
        </w:rPr>
      </w:pPr>
    </w:p>
    <w:p w14:paraId="56D605BD">
      <w:pPr>
        <w:keepNext w:val="0"/>
        <w:keepLines w:val="0"/>
        <w:pageBreakBefore w:val="0"/>
        <w:widowControl w:val="0"/>
        <w:numPr>
          <w:ilvl w:val="-1"/>
          <w:numId w:val="0"/>
        </w:numPr>
        <w:kinsoku/>
        <w:wordWrap/>
        <w:overflowPunct/>
        <w:topLinePunct w:val="0"/>
        <w:autoSpaceDE/>
        <w:autoSpaceDN/>
        <w:bidi w:val="0"/>
        <w:adjustRightInd w:val="0"/>
        <w:snapToGrid w:val="0"/>
        <w:spacing w:before="120" w:after="120" w:line="440" w:lineRule="exact"/>
        <w:ind w:left="400" w:firstLine="3080" w:firstLineChars="1100"/>
        <w:jc w:val="left"/>
        <w:textAlignment w:val="auto"/>
        <w:rPr>
          <w:rFonts w:hint="eastAsia" w:ascii="仿宋" w:hAnsi="仿宋" w:eastAsia="仿宋" w:cs="仿宋"/>
          <w:sz w:val="28"/>
          <w:szCs w:val="28"/>
        </w:rPr>
      </w:pPr>
      <w:r>
        <w:rPr>
          <w:rFonts w:hint="eastAsia" w:ascii="仿宋" w:hAnsi="仿宋" w:eastAsia="仿宋" w:cs="仿宋"/>
          <w:sz w:val="28"/>
          <w:szCs w:val="28"/>
        </w:rPr>
        <w:t>广西壮族自治区交通运输综合行政执法局</w:t>
      </w:r>
    </w:p>
    <w:p w14:paraId="7C191549">
      <w:pPr>
        <w:keepNext w:val="0"/>
        <w:keepLines w:val="0"/>
        <w:pageBreakBefore w:val="0"/>
        <w:widowControl w:val="0"/>
        <w:numPr>
          <w:ilvl w:val="-1"/>
          <w:numId w:val="0"/>
        </w:numPr>
        <w:kinsoku/>
        <w:wordWrap/>
        <w:overflowPunct/>
        <w:topLinePunct w:val="0"/>
        <w:autoSpaceDE/>
        <w:autoSpaceDN/>
        <w:bidi w:val="0"/>
        <w:adjustRightInd w:val="0"/>
        <w:snapToGrid w:val="0"/>
        <w:spacing w:before="120" w:after="120" w:line="440" w:lineRule="exact"/>
        <w:ind w:left="0" w:firstLine="4760" w:firstLineChars="17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2026年3月</w:t>
      </w:r>
      <w:r>
        <w:rPr>
          <w:rFonts w:hint="eastAsia" w:ascii="仿宋" w:hAnsi="仿宋" w:eastAsia="仿宋" w:cs="仿宋"/>
          <w:sz w:val="28"/>
          <w:szCs w:val="28"/>
          <w:lang w:val="en-US" w:eastAsia="zh-CN"/>
        </w:rPr>
        <w:t>11</w:t>
      </w:r>
      <w:r>
        <w:rPr>
          <w:rFonts w:hint="eastAsia" w:ascii="仿宋" w:hAnsi="仿宋" w:eastAsia="仿宋" w:cs="仿宋"/>
          <w:sz w:val="28"/>
          <w:szCs w:val="28"/>
        </w:rPr>
        <w:t>日</w:t>
      </w:r>
      <w:bookmarkStart w:id="14" w:name="heading_17"/>
    </w:p>
    <w:p w14:paraId="7A16133A">
      <w:pPr>
        <w:spacing w:before="380" w:after="140" w:line="288" w:lineRule="auto"/>
        <w:ind w:left="0"/>
        <w:jc w:val="left"/>
        <w:outlineLvl w:val="0"/>
        <w:rPr>
          <w:rFonts w:hint="eastAsia" w:ascii="仿宋" w:hAnsi="仿宋" w:eastAsia="仿宋" w:cs="仿宋"/>
          <w:b/>
          <w:sz w:val="28"/>
          <w:szCs w:val="28"/>
        </w:rPr>
      </w:pPr>
      <w:r>
        <w:rPr>
          <w:rFonts w:hint="eastAsia" w:ascii="仿宋" w:hAnsi="仿宋" w:eastAsia="仿宋" w:cs="仿宋"/>
          <w:b/>
          <w:sz w:val="28"/>
          <w:szCs w:val="28"/>
        </w:rPr>
        <w:t xml:space="preserve">附件1 </w:t>
      </w:r>
    </w:p>
    <w:p w14:paraId="14193CC1">
      <w:pPr>
        <w:spacing w:before="380" w:after="140" w:line="288" w:lineRule="auto"/>
        <w:ind w:left="0"/>
        <w:jc w:val="center"/>
        <w:outlineLvl w:val="0"/>
        <w:rPr>
          <w:rFonts w:hint="eastAsia" w:ascii="仿宋" w:hAnsi="仿宋" w:eastAsia="仿宋" w:cs="仿宋"/>
          <w:sz w:val="32"/>
          <w:szCs w:val="32"/>
        </w:rPr>
      </w:pPr>
      <w:r>
        <w:rPr>
          <w:rFonts w:hint="eastAsia" w:ascii="仿宋" w:hAnsi="仿宋" w:eastAsia="仿宋" w:cs="仿宋"/>
          <w:b/>
          <w:sz w:val="32"/>
          <w:szCs w:val="32"/>
        </w:rPr>
        <w:t>评审办法及评分标准</w:t>
      </w:r>
      <w:bookmarkEnd w:id="14"/>
    </w:p>
    <w:p w14:paraId="03F964FF">
      <w:pPr>
        <w:spacing w:before="320" w:after="120" w:line="288" w:lineRule="auto"/>
        <w:ind w:left="0" w:firstLine="562" w:firstLineChars="200"/>
        <w:jc w:val="left"/>
        <w:outlineLvl w:val="1"/>
        <w:rPr>
          <w:rFonts w:hint="eastAsia" w:ascii="仿宋" w:hAnsi="仿宋" w:eastAsia="仿宋" w:cs="仿宋"/>
          <w:sz w:val="28"/>
          <w:szCs w:val="28"/>
        </w:rPr>
      </w:pPr>
      <w:bookmarkStart w:id="15" w:name="heading_18"/>
      <w:r>
        <w:rPr>
          <w:rFonts w:hint="eastAsia" w:ascii="仿宋" w:hAnsi="仿宋" w:eastAsia="仿宋" w:cs="仿宋"/>
          <w:b/>
          <w:sz w:val="28"/>
          <w:szCs w:val="28"/>
        </w:rPr>
        <w:t>一、评审原则</w:t>
      </w:r>
      <w:bookmarkEnd w:id="15"/>
    </w:p>
    <w:p w14:paraId="6559D121">
      <w:pPr>
        <w:numPr>
          <w:ilvl w:val="0"/>
          <w:numId w:val="2"/>
        </w:numPr>
        <w:spacing w:before="120" w:after="120" w:line="288" w:lineRule="auto"/>
        <w:ind w:left="0" w:leftChars="0" w:firstLine="400" w:firstLineChars="0"/>
        <w:jc w:val="left"/>
        <w:rPr>
          <w:rFonts w:hint="eastAsia" w:ascii="仿宋" w:hAnsi="仿宋" w:eastAsia="仿宋" w:cs="仿宋"/>
          <w:sz w:val="28"/>
          <w:szCs w:val="28"/>
        </w:rPr>
      </w:pPr>
      <w:r>
        <w:rPr>
          <w:rFonts w:hint="eastAsia" w:ascii="仿宋" w:hAnsi="仿宋" w:eastAsia="仿宋" w:cs="仿宋"/>
          <w:sz w:val="28"/>
          <w:szCs w:val="28"/>
        </w:rPr>
        <w:t>评审委员会</w:t>
      </w:r>
      <w:r>
        <w:rPr>
          <w:rFonts w:hint="eastAsia" w:ascii="仿宋" w:hAnsi="仿宋" w:eastAsia="仿宋" w:cs="仿宋"/>
          <w:sz w:val="28"/>
          <w:szCs w:val="28"/>
          <w:lang w:eastAsia="zh-CN"/>
        </w:rPr>
        <w:t>构成：本采购项目的评审委员会</w:t>
      </w:r>
      <w:r>
        <w:rPr>
          <w:rFonts w:hint="eastAsia" w:ascii="仿宋" w:hAnsi="仿宋" w:eastAsia="仿宋" w:cs="仿宋"/>
          <w:sz w:val="28"/>
          <w:szCs w:val="28"/>
        </w:rPr>
        <w:t>由</w:t>
      </w:r>
      <w:r>
        <w:rPr>
          <w:rFonts w:hint="eastAsia" w:ascii="仿宋" w:hAnsi="仿宋" w:eastAsia="仿宋" w:cs="仿宋"/>
          <w:sz w:val="28"/>
          <w:szCs w:val="28"/>
          <w:lang w:eastAsia="zh-CN"/>
        </w:rPr>
        <w:t>执法局根据有关要求抽取</w:t>
      </w:r>
      <w:r>
        <w:rPr>
          <w:rFonts w:hint="eastAsia" w:ascii="仿宋" w:hAnsi="仿宋" w:eastAsia="仿宋" w:cs="仿宋"/>
          <w:sz w:val="28"/>
          <w:szCs w:val="28"/>
          <w:lang w:val="en-US" w:eastAsia="zh-CN"/>
        </w:rPr>
        <w:t>3</w:t>
      </w:r>
      <w:r>
        <w:rPr>
          <w:rFonts w:hint="eastAsia" w:ascii="仿宋" w:hAnsi="仿宋" w:eastAsia="仿宋" w:cs="仿宋"/>
          <w:b/>
          <w:sz w:val="28"/>
          <w:szCs w:val="28"/>
        </w:rPr>
        <w:t>人及以上单数</w:t>
      </w:r>
      <w:r>
        <w:rPr>
          <w:rFonts w:hint="eastAsia" w:ascii="仿宋" w:hAnsi="仿宋" w:eastAsia="仿宋" w:cs="仿宋"/>
          <w:b w:val="0"/>
          <w:bCs/>
          <w:sz w:val="28"/>
          <w:szCs w:val="28"/>
          <w:lang w:eastAsia="zh-CN"/>
        </w:rPr>
        <w:t>作为评委和</w:t>
      </w:r>
      <w:r>
        <w:rPr>
          <w:rFonts w:hint="eastAsia" w:ascii="仿宋" w:hAnsi="仿宋" w:eastAsia="仿宋" w:cs="仿宋"/>
          <w:b w:val="0"/>
          <w:bCs/>
          <w:sz w:val="28"/>
          <w:szCs w:val="28"/>
          <w:lang w:val="en-US" w:eastAsia="zh-CN"/>
        </w:rPr>
        <w:t>1名监督员构成</w:t>
      </w:r>
      <w:r>
        <w:rPr>
          <w:rFonts w:hint="eastAsia" w:ascii="仿宋" w:hAnsi="仿宋" w:eastAsia="仿宋" w:cs="仿宋"/>
          <w:sz w:val="28"/>
          <w:szCs w:val="28"/>
        </w:rPr>
        <w:t>；</w:t>
      </w:r>
    </w:p>
    <w:p w14:paraId="51375369">
      <w:pPr>
        <w:numPr>
          <w:ilvl w:val="0"/>
          <w:numId w:val="2"/>
        </w:numPr>
        <w:spacing w:before="120" w:after="120" w:line="288" w:lineRule="auto"/>
        <w:ind w:left="0" w:leftChars="0" w:firstLine="400" w:firstLineChars="0"/>
        <w:jc w:val="left"/>
        <w:rPr>
          <w:rFonts w:hint="eastAsia" w:ascii="仿宋" w:hAnsi="仿宋" w:eastAsia="仿宋" w:cs="仿宋"/>
          <w:sz w:val="28"/>
          <w:szCs w:val="28"/>
        </w:rPr>
      </w:pPr>
      <w:r>
        <w:rPr>
          <w:rFonts w:hint="eastAsia" w:ascii="仿宋" w:hAnsi="仿宋" w:eastAsia="仿宋" w:cs="仿宋"/>
          <w:sz w:val="28"/>
          <w:szCs w:val="28"/>
        </w:rPr>
        <w:t>评审以本询价采购文件为唯一依据，先进行资格符合性审查，审查合格的供应商方可进入后续综合评分环节；</w:t>
      </w:r>
    </w:p>
    <w:p w14:paraId="362FA63C">
      <w:pPr>
        <w:numPr>
          <w:ilvl w:val="0"/>
          <w:numId w:val="2"/>
        </w:numPr>
        <w:spacing w:before="120" w:after="120" w:line="288" w:lineRule="auto"/>
        <w:ind w:left="0" w:leftChars="0" w:firstLine="400" w:firstLineChars="0"/>
        <w:jc w:val="left"/>
        <w:rPr>
          <w:rFonts w:hint="eastAsia" w:ascii="仿宋" w:hAnsi="仿宋" w:eastAsia="仿宋" w:cs="仿宋"/>
          <w:sz w:val="28"/>
          <w:szCs w:val="28"/>
        </w:rPr>
      </w:pPr>
      <w:r>
        <w:rPr>
          <w:rFonts w:hint="eastAsia" w:ascii="仿宋" w:hAnsi="仿宋" w:eastAsia="仿宋" w:cs="仿宋"/>
          <w:sz w:val="28"/>
          <w:szCs w:val="28"/>
        </w:rPr>
        <w:t>对通过资格审查的供应商，按</w:t>
      </w:r>
      <w:r>
        <w:rPr>
          <w:rFonts w:hint="eastAsia" w:ascii="仿宋" w:hAnsi="仿宋" w:eastAsia="仿宋" w:cs="仿宋"/>
          <w:b/>
          <w:sz w:val="28"/>
          <w:szCs w:val="28"/>
        </w:rPr>
        <w:t>百分制综合评分法</w:t>
      </w:r>
      <w:r>
        <w:rPr>
          <w:rFonts w:hint="eastAsia" w:ascii="仿宋" w:hAnsi="仿宋" w:eastAsia="仿宋" w:cs="仿宋"/>
          <w:sz w:val="28"/>
          <w:szCs w:val="28"/>
        </w:rPr>
        <w:t>打分，计分结果按四舍五入取至百分位；</w:t>
      </w:r>
    </w:p>
    <w:p w14:paraId="55AAA3BD">
      <w:pPr>
        <w:numPr>
          <w:ilvl w:val="0"/>
          <w:numId w:val="2"/>
        </w:numPr>
        <w:spacing w:before="120" w:after="120" w:line="288" w:lineRule="auto"/>
        <w:ind w:left="0" w:leftChars="0" w:firstLine="400" w:firstLineChars="0"/>
        <w:jc w:val="left"/>
        <w:rPr>
          <w:rFonts w:hint="eastAsia" w:ascii="仿宋" w:hAnsi="仿宋" w:eastAsia="仿宋" w:cs="仿宋"/>
          <w:sz w:val="28"/>
          <w:szCs w:val="28"/>
        </w:rPr>
      </w:pPr>
      <w:r>
        <w:rPr>
          <w:rFonts w:hint="eastAsia" w:ascii="仿宋" w:hAnsi="仿宋" w:eastAsia="仿宋" w:cs="仿宋"/>
          <w:sz w:val="28"/>
          <w:szCs w:val="28"/>
        </w:rPr>
        <w:t>评审过程坚持公平、公正、公开原则，严格按照评分标准独立打分，同一证明文件不重复计分；</w:t>
      </w:r>
    </w:p>
    <w:p w14:paraId="290542C0">
      <w:pPr>
        <w:numPr>
          <w:ilvl w:val="0"/>
          <w:numId w:val="2"/>
        </w:numPr>
        <w:spacing w:before="120" w:after="120" w:line="288" w:lineRule="auto"/>
        <w:ind w:left="0" w:leftChars="0" w:firstLine="400" w:firstLineChars="0"/>
        <w:jc w:val="left"/>
        <w:rPr>
          <w:rFonts w:hint="eastAsia" w:ascii="仿宋" w:hAnsi="仿宋" w:eastAsia="仿宋" w:cs="仿宋"/>
          <w:sz w:val="28"/>
          <w:szCs w:val="28"/>
        </w:rPr>
      </w:pPr>
      <w:r>
        <w:rPr>
          <w:rFonts w:hint="eastAsia" w:ascii="仿宋" w:hAnsi="仿宋" w:eastAsia="仿宋" w:cs="仿宋"/>
          <w:sz w:val="28"/>
          <w:szCs w:val="28"/>
        </w:rPr>
        <w:t>业绩、科研平台、奖项等证明材料需在报价文件中提供清晰复印件并加盖公章，模糊不清无法辨认的视为无效材料。</w:t>
      </w:r>
    </w:p>
    <w:p w14:paraId="3CD40430">
      <w:pPr>
        <w:spacing w:before="320" w:after="120" w:line="288" w:lineRule="auto"/>
        <w:ind w:left="0" w:firstLine="562" w:firstLineChars="200"/>
        <w:jc w:val="left"/>
        <w:outlineLvl w:val="1"/>
        <w:rPr>
          <w:rFonts w:hint="eastAsia" w:ascii="仿宋" w:hAnsi="仿宋" w:eastAsia="仿宋" w:cs="仿宋"/>
          <w:sz w:val="28"/>
          <w:szCs w:val="28"/>
        </w:rPr>
      </w:pPr>
      <w:bookmarkStart w:id="16" w:name="heading_19"/>
      <w:r>
        <w:rPr>
          <w:rFonts w:hint="eastAsia" w:ascii="仿宋" w:hAnsi="仿宋" w:eastAsia="仿宋" w:cs="仿宋"/>
          <w:b/>
          <w:sz w:val="28"/>
          <w:szCs w:val="28"/>
        </w:rPr>
        <w:t>二、评审方法</w:t>
      </w:r>
      <w:bookmarkEnd w:id="16"/>
    </w:p>
    <w:p w14:paraId="19D17308">
      <w:pPr>
        <w:numPr>
          <w:ilvl w:val="0"/>
          <w:numId w:val="3"/>
        </w:numPr>
        <w:spacing w:before="120" w:after="120" w:line="288" w:lineRule="auto"/>
        <w:ind w:left="0" w:leftChars="0" w:firstLine="400" w:firstLineChars="0"/>
        <w:jc w:val="left"/>
        <w:rPr>
          <w:rFonts w:hint="eastAsia" w:ascii="仿宋" w:hAnsi="仿宋" w:eastAsia="仿宋" w:cs="仿宋"/>
          <w:sz w:val="28"/>
          <w:szCs w:val="28"/>
        </w:rPr>
      </w:pPr>
      <w:r>
        <w:rPr>
          <w:rFonts w:hint="eastAsia" w:ascii="仿宋" w:hAnsi="仿宋" w:eastAsia="仿宋" w:cs="仿宋"/>
          <w:sz w:val="28"/>
          <w:szCs w:val="28"/>
        </w:rPr>
        <w:t>资格符合性审查：评审委员会根据采购文件规定的供应商资格要求，对供应商的报价文件进行逐项审查，未全部满足资格要求的，视为资格审查不合格，否决其报价文件。</w:t>
      </w:r>
    </w:p>
    <w:p w14:paraId="5B7980CD">
      <w:pPr>
        <w:numPr>
          <w:ilvl w:val="0"/>
          <w:numId w:val="3"/>
        </w:numPr>
        <w:spacing w:before="120" w:after="120" w:line="288" w:lineRule="auto"/>
        <w:ind w:left="0" w:leftChars="0" w:firstLine="400" w:firstLineChars="0"/>
        <w:jc w:val="left"/>
        <w:rPr>
          <w:rFonts w:hint="eastAsia" w:ascii="仿宋" w:hAnsi="仿宋" w:eastAsia="仿宋" w:cs="仿宋"/>
          <w:sz w:val="28"/>
          <w:szCs w:val="28"/>
        </w:rPr>
      </w:pPr>
      <w:r>
        <w:rPr>
          <w:rFonts w:hint="eastAsia" w:ascii="仿宋" w:hAnsi="仿宋" w:eastAsia="仿宋" w:cs="仿宋"/>
          <w:sz w:val="28"/>
          <w:szCs w:val="28"/>
        </w:rPr>
        <w:t>综合评分：对通过资格符合性审查的供应商，按以下公式计算总得分，总得分=价格分（10分）+</w:t>
      </w:r>
      <w:r>
        <w:rPr>
          <w:rFonts w:hint="eastAsia" w:ascii="仿宋" w:hAnsi="仿宋" w:eastAsia="仿宋" w:cs="仿宋"/>
          <w:sz w:val="28"/>
          <w:szCs w:val="28"/>
          <w:lang w:eastAsia="zh-CN"/>
        </w:rPr>
        <w:t>技术方案分（</w:t>
      </w:r>
      <w:r>
        <w:rPr>
          <w:rFonts w:hint="eastAsia" w:ascii="仿宋" w:hAnsi="仿宋" w:eastAsia="仿宋" w:cs="仿宋"/>
          <w:sz w:val="28"/>
          <w:szCs w:val="28"/>
          <w:lang w:val="en-US" w:eastAsia="zh-CN"/>
        </w:rPr>
        <w:t>35分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+专业技术人员分（20分）+</w:t>
      </w:r>
      <w:r>
        <w:rPr>
          <w:rFonts w:hint="eastAsia" w:ascii="仿宋" w:hAnsi="仿宋" w:eastAsia="仿宋" w:cs="仿宋"/>
          <w:sz w:val="28"/>
          <w:szCs w:val="28"/>
          <w:lang w:eastAsia="zh-CN"/>
        </w:rPr>
        <w:t>商务</w:t>
      </w:r>
      <w:r>
        <w:rPr>
          <w:rFonts w:hint="eastAsia" w:ascii="仿宋" w:hAnsi="仿宋" w:eastAsia="仿宋" w:cs="仿宋"/>
          <w:sz w:val="28"/>
          <w:szCs w:val="28"/>
        </w:rPr>
        <w:t>分（</w:t>
      </w:r>
      <w:r>
        <w:rPr>
          <w:rFonts w:hint="eastAsia" w:ascii="仿宋" w:hAnsi="仿宋" w:eastAsia="仿宋" w:cs="仿宋"/>
          <w:sz w:val="28"/>
          <w:szCs w:val="28"/>
          <w:lang w:val="en-US" w:eastAsia="zh-CN"/>
        </w:rPr>
        <w:t>35</w:t>
      </w:r>
      <w:r>
        <w:rPr>
          <w:rFonts w:hint="eastAsia" w:ascii="仿宋" w:hAnsi="仿宋" w:eastAsia="仿宋" w:cs="仿宋"/>
          <w:sz w:val="28"/>
          <w:szCs w:val="28"/>
        </w:rPr>
        <w:t>分）。</w:t>
      </w:r>
    </w:p>
    <w:p w14:paraId="798096E5">
      <w:pPr>
        <w:numPr>
          <w:ilvl w:val="0"/>
          <w:numId w:val="4"/>
        </w:numPr>
        <w:spacing w:before="320" w:after="120" w:line="288" w:lineRule="auto"/>
        <w:ind w:left="0" w:firstLine="562" w:firstLineChars="200"/>
        <w:jc w:val="left"/>
        <w:outlineLvl w:val="1"/>
        <w:rPr>
          <w:rFonts w:hint="eastAsia" w:ascii="仿宋" w:hAnsi="仿宋" w:eastAsia="仿宋" w:cs="仿宋"/>
          <w:b/>
          <w:sz w:val="28"/>
          <w:szCs w:val="28"/>
        </w:rPr>
      </w:pPr>
      <w:bookmarkStart w:id="17" w:name="heading_20"/>
      <w:r>
        <w:rPr>
          <w:rFonts w:hint="eastAsia" w:ascii="仿宋" w:hAnsi="仿宋" w:eastAsia="仿宋" w:cs="仿宋"/>
          <w:b/>
          <w:sz w:val="28"/>
          <w:szCs w:val="28"/>
        </w:rPr>
        <w:t>评分标准</w:t>
      </w:r>
      <w:bookmarkEnd w:id="17"/>
    </w:p>
    <w:tbl>
      <w:tblPr>
        <w:tblStyle w:val="7"/>
        <w:tblW w:w="882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53"/>
        <w:gridCol w:w="5711"/>
        <w:gridCol w:w="964"/>
      </w:tblGrid>
      <w:tr w14:paraId="5D9F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bottom w:val="double" w:color="auto" w:sz="4" w:space="0"/>
            </w:tcBorders>
            <w:vAlign w:val="center"/>
          </w:tcPr>
          <w:p w14:paraId="6298741B">
            <w:pPr>
              <w:spacing w:line="520" w:lineRule="exact"/>
              <w:jc w:val="center"/>
              <w:rPr>
                <w:rFonts w:ascii="黑体" w:hAnsi="黑体" w:eastAsia="黑体"/>
                <w:sz w:val="28"/>
                <w:szCs w:val="28"/>
              </w:rPr>
            </w:pPr>
            <w:r>
              <w:rPr>
                <w:rFonts w:hint="eastAsia" w:ascii="黑体" w:hAnsi="黑体" w:eastAsia="黑体"/>
                <w:sz w:val="28"/>
                <w:szCs w:val="28"/>
              </w:rPr>
              <w:t>序号</w:t>
            </w:r>
          </w:p>
        </w:tc>
        <w:tc>
          <w:tcPr>
            <w:tcW w:w="1353" w:type="dxa"/>
            <w:tcBorders>
              <w:bottom w:val="double" w:color="auto" w:sz="4" w:space="0"/>
            </w:tcBorders>
            <w:vAlign w:val="center"/>
          </w:tcPr>
          <w:p w14:paraId="70EC0463">
            <w:pPr>
              <w:spacing w:line="520" w:lineRule="exact"/>
              <w:jc w:val="center"/>
              <w:rPr>
                <w:rFonts w:ascii="黑体" w:hAnsi="黑体" w:eastAsia="黑体"/>
                <w:sz w:val="28"/>
                <w:szCs w:val="28"/>
              </w:rPr>
            </w:pPr>
            <w:r>
              <w:rPr>
                <w:rFonts w:hint="eastAsia" w:ascii="黑体" w:hAnsi="黑体" w:eastAsia="黑体"/>
                <w:sz w:val="28"/>
                <w:szCs w:val="28"/>
              </w:rPr>
              <w:t>评审</w:t>
            </w:r>
            <w:r>
              <w:rPr>
                <w:rFonts w:ascii="黑体" w:hAnsi="黑体" w:eastAsia="黑体"/>
                <w:sz w:val="28"/>
                <w:szCs w:val="28"/>
              </w:rPr>
              <w:t>因素</w:t>
            </w:r>
          </w:p>
        </w:tc>
        <w:tc>
          <w:tcPr>
            <w:tcW w:w="5711" w:type="dxa"/>
            <w:tcBorders>
              <w:bottom w:val="double" w:color="auto" w:sz="4" w:space="0"/>
            </w:tcBorders>
            <w:vAlign w:val="center"/>
          </w:tcPr>
          <w:p w14:paraId="5DE41006">
            <w:pPr>
              <w:spacing w:line="520" w:lineRule="exact"/>
              <w:jc w:val="center"/>
              <w:rPr>
                <w:rFonts w:ascii="黑体" w:hAnsi="黑体" w:eastAsia="黑体"/>
                <w:sz w:val="28"/>
                <w:szCs w:val="28"/>
              </w:rPr>
            </w:pPr>
            <w:r>
              <w:rPr>
                <w:rFonts w:hint="eastAsia" w:ascii="黑体" w:hAnsi="黑体" w:eastAsia="黑体"/>
                <w:sz w:val="28"/>
                <w:szCs w:val="28"/>
              </w:rPr>
              <w:t>评审</w:t>
            </w:r>
            <w:r>
              <w:rPr>
                <w:rFonts w:ascii="黑体" w:hAnsi="黑体" w:eastAsia="黑体"/>
                <w:sz w:val="28"/>
                <w:szCs w:val="28"/>
              </w:rPr>
              <w:t>因素具体内容</w:t>
            </w:r>
          </w:p>
        </w:tc>
        <w:tc>
          <w:tcPr>
            <w:tcW w:w="964" w:type="dxa"/>
            <w:tcBorders>
              <w:bottom w:val="double" w:color="auto" w:sz="4" w:space="0"/>
            </w:tcBorders>
            <w:vAlign w:val="center"/>
          </w:tcPr>
          <w:p w14:paraId="21C35427">
            <w:pPr>
              <w:spacing w:line="520" w:lineRule="exact"/>
              <w:jc w:val="center"/>
              <w:rPr>
                <w:rFonts w:ascii="黑体" w:hAnsi="黑体" w:eastAsia="黑体"/>
                <w:sz w:val="28"/>
                <w:szCs w:val="28"/>
              </w:rPr>
            </w:pPr>
            <w:r>
              <w:rPr>
                <w:rFonts w:hint="eastAsia" w:ascii="黑体" w:hAnsi="黑体" w:eastAsia="黑体"/>
                <w:sz w:val="28"/>
                <w:szCs w:val="28"/>
              </w:rPr>
              <w:t>满分</w:t>
            </w:r>
          </w:p>
        </w:tc>
      </w:tr>
      <w:tr w14:paraId="2B80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92" w:type="dxa"/>
            <w:tcBorders>
              <w:top w:val="double" w:color="auto" w:sz="4" w:space="0"/>
              <w:bottom w:val="double" w:color="auto" w:sz="4" w:space="0"/>
            </w:tcBorders>
            <w:vAlign w:val="center"/>
          </w:tcPr>
          <w:p w14:paraId="6E8944B4">
            <w:pPr>
              <w:spacing w:line="520" w:lineRule="exact"/>
              <w:jc w:val="center"/>
              <w:rPr>
                <w:rFonts w:ascii="仿宋_GB2312" w:hAnsi="仿宋" w:eastAsia="仿宋_GB2312"/>
                <w:sz w:val="28"/>
                <w:szCs w:val="28"/>
              </w:rPr>
            </w:pPr>
            <w:r>
              <w:rPr>
                <w:rFonts w:hint="eastAsia" w:ascii="仿宋_GB2312" w:hAnsi="仿宋" w:eastAsia="仿宋_GB2312"/>
                <w:sz w:val="28"/>
                <w:szCs w:val="28"/>
              </w:rPr>
              <w:t>1</w:t>
            </w:r>
          </w:p>
        </w:tc>
        <w:tc>
          <w:tcPr>
            <w:tcW w:w="1353" w:type="dxa"/>
            <w:tcBorders>
              <w:top w:val="double" w:color="auto" w:sz="4" w:space="0"/>
              <w:bottom w:val="double" w:color="auto" w:sz="4" w:space="0"/>
            </w:tcBorders>
            <w:vAlign w:val="center"/>
          </w:tcPr>
          <w:p w14:paraId="65C68777">
            <w:pPr>
              <w:spacing w:line="520" w:lineRule="exact"/>
              <w:jc w:val="center"/>
              <w:rPr>
                <w:rFonts w:ascii="仿宋_GB2312" w:hAnsi="仿宋" w:eastAsia="仿宋_GB2312"/>
                <w:sz w:val="28"/>
                <w:szCs w:val="28"/>
              </w:rPr>
            </w:pPr>
            <w:r>
              <w:rPr>
                <w:rFonts w:hint="eastAsia" w:ascii="仿宋_GB2312" w:hAnsi="仿宋" w:eastAsia="仿宋_GB2312"/>
                <w:sz w:val="28"/>
                <w:szCs w:val="28"/>
              </w:rPr>
              <w:t>价格分</w:t>
            </w:r>
          </w:p>
        </w:tc>
        <w:tc>
          <w:tcPr>
            <w:tcW w:w="5711" w:type="dxa"/>
            <w:tcBorders>
              <w:top w:val="double" w:color="auto" w:sz="4" w:space="0"/>
              <w:bottom w:val="double" w:color="auto" w:sz="4" w:space="0"/>
            </w:tcBorders>
          </w:tcPr>
          <w:p w14:paraId="0A4DE727">
            <w:pPr>
              <w:keepNext w:val="0"/>
              <w:keepLines w:val="0"/>
              <w:pageBreakBefore w:val="0"/>
              <w:widowControl w:val="0"/>
              <w:numPr>
                <w:ilvl w:val="0"/>
                <w:numId w:val="0"/>
              </w:numPr>
              <w:kinsoku/>
              <w:wordWrap/>
              <w:overflowPunct/>
              <w:topLinePunct w:val="0"/>
              <w:autoSpaceDE/>
              <w:autoSpaceDN/>
              <w:bidi w:val="0"/>
              <w:adjustRightInd/>
              <w:snapToGrid/>
              <w:spacing w:before="120" w:after="120" w:line="320" w:lineRule="exact"/>
              <w:jc w:val="left"/>
              <w:textAlignment w:val="auto"/>
              <w:rPr>
                <w:rFonts w:ascii="仿宋_GB2312" w:hAnsi="仿宋" w:eastAsia="仿宋_GB2312"/>
                <w:sz w:val="28"/>
                <w:szCs w:val="28"/>
              </w:rPr>
            </w:pPr>
            <w:r>
              <w:rPr>
                <w:rFonts w:hint="eastAsia" w:ascii="仿宋" w:hAnsi="仿宋" w:eastAsia="仿宋" w:cs="仿宋"/>
                <w:sz w:val="28"/>
                <w:szCs w:val="28"/>
              </w:rPr>
              <w:t>满足本询价文件供应商资格要求的最低合同报价作为评标基准价，计取价格分=10×（评标基准价/合同报价）。</w:t>
            </w:r>
          </w:p>
        </w:tc>
        <w:tc>
          <w:tcPr>
            <w:tcW w:w="964" w:type="dxa"/>
            <w:tcBorders>
              <w:top w:val="double" w:color="auto" w:sz="4" w:space="0"/>
              <w:bottom w:val="double" w:color="auto" w:sz="4" w:space="0"/>
            </w:tcBorders>
            <w:vAlign w:val="center"/>
          </w:tcPr>
          <w:p w14:paraId="21037C86">
            <w:pPr>
              <w:spacing w:line="520" w:lineRule="exact"/>
              <w:jc w:val="center"/>
              <w:rPr>
                <w:rFonts w:ascii="仿宋" w:hAnsi="仿宋" w:eastAsia="仿宋"/>
                <w:sz w:val="28"/>
                <w:szCs w:val="28"/>
              </w:rPr>
            </w:pPr>
            <w:r>
              <w:rPr>
                <w:rFonts w:hint="eastAsia" w:ascii="仿宋" w:hAnsi="仿宋" w:eastAsia="仿宋"/>
                <w:sz w:val="28"/>
                <w:szCs w:val="28"/>
                <w:lang w:val="en-US" w:eastAsia="zh-CN"/>
              </w:rPr>
              <w:t>1</w:t>
            </w:r>
            <w:r>
              <w:rPr>
                <w:rFonts w:ascii="仿宋" w:hAnsi="仿宋" w:eastAsia="仿宋"/>
                <w:sz w:val="28"/>
                <w:szCs w:val="28"/>
              </w:rPr>
              <w:t>0</w:t>
            </w:r>
          </w:p>
        </w:tc>
      </w:tr>
      <w:tr w14:paraId="2A11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19FE25AB">
            <w:pPr>
              <w:spacing w:line="520" w:lineRule="exact"/>
              <w:jc w:val="center"/>
              <w:rPr>
                <w:rFonts w:hint="eastAsia" w:ascii="仿宋_GB2312" w:hAnsi="仿宋" w:eastAsia="仿宋_GB2312"/>
                <w:sz w:val="28"/>
                <w:szCs w:val="28"/>
              </w:rPr>
            </w:pPr>
          </w:p>
          <w:p w14:paraId="0D906922">
            <w:pPr>
              <w:spacing w:line="520" w:lineRule="exact"/>
              <w:jc w:val="center"/>
              <w:rPr>
                <w:rFonts w:hint="eastAsia" w:ascii="仿宋_GB2312" w:hAnsi="仿宋" w:eastAsia="仿宋_GB2312"/>
                <w:sz w:val="28"/>
                <w:szCs w:val="28"/>
              </w:rPr>
            </w:pPr>
          </w:p>
          <w:p w14:paraId="67804AA2">
            <w:pPr>
              <w:spacing w:line="520" w:lineRule="exact"/>
              <w:jc w:val="center"/>
              <w:rPr>
                <w:rFonts w:hint="eastAsia" w:ascii="仿宋_GB2312" w:hAnsi="仿宋" w:eastAsia="仿宋_GB2312"/>
                <w:sz w:val="28"/>
                <w:szCs w:val="28"/>
              </w:rPr>
            </w:pPr>
          </w:p>
          <w:p w14:paraId="1D7113D5">
            <w:pPr>
              <w:spacing w:line="520" w:lineRule="exact"/>
              <w:jc w:val="center"/>
              <w:rPr>
                <w:rFonts w:hint="eastAsia" w:ascii="仿宋_GB2312" w:hAnsi="仿宋" w:eastAsia="仿宋_GB2312"/>
                <w:sz w:val="28"/>
                <w:szCs w:val="28"/>
              </w:rPr>
            </w:pPr>
          </w:p>
          <w:p w14:paraId="493A88E8">
            <w:pPr>
              <w:spacing w:line="520" w:lineRule="exact"/>
              <w:jc w:val="center"/>
              <w:rPr>
                <w:rFonts w:hint="eastAsia" w:ascii="仿宋_GB2312" w:hAnsi="仿宋" w:eastAsia="仿宋_GB2312"/>
                <w:sz w:val="28"/>
                <w:szCs w:val="28"/>
              </w:rPr>
            </w:pPr>
          </w:p>
          <w:p w14:paraId="6BCA3EDA">
            <w:pPr>
              <w:spacing w:line="520" w:lineRule="exact"/>
              <w:jc w:val="center"/>
              <w:rPr>
                <w:rFonts w:hint="eastAsia" w:ascii="仿宋_GB2312" w:hAnsi="仿宋" w:eastAsia="仿宋_GB2312"/>
                <w:sz w:val="28"/>
                <w:szCs w:val="28"/>
              </w:rPr>
            </w:pPr>
          </w:p>
          <w:p w14:paraId="5982332B">
            <w:pPr>
              <w:spacing w:line="520" w:lineRule="exact"/>
              <w:jc w:val="center"/>
              <w:rPr>
                <w:rFonts w:ascii="仿宋_GB2312" w:hAnsi="仿宋" w:eastAsia="仿宋_GB2312"/>
                <w:sz w:val="28"/>
                <w:szCs w:val="28"/>
              </w:rPr>
            </w:pPr>
            <w:r>
              <w:rPr>
                <w:rFonts w:hint="eastAsia" w:ascii="仿宋_GB2312" w:hAnsi="仿宋" w:eastAsia="仿宋_GB2312"/>
                <w:sz w:val="28"/>
                <w:szCs w:val="28"/>
              </w:rPr>
              <w:t>2</w:t>
            </w:r>
          </w:p>
        </w:tc>
        <w:tc>
          <w:tcPr>
            <w:tcW w:w="1353" w:type="dxa"/>
            <w:vAlign w:val="center"/>
          </w:tcPr>
          <w:p w14:paraId="0F91FADC">
            <w:pPr>
              <w:spacing w:line="520" w:lineRule="exact"/>
              <w:jc w:val="center"/>
              <w:rPr>
                <w:rFonts w:hint="eastAsia" w:ascii="仿宋_GB2312" w:hAnsi="仿宋" w:eastAsia="仿宋_GB2312"/>
                <w:sz w:val="28"/>
                <w:szCs w:val="28"/>
              </w:rPr>
            </w:pPr>
          </w:p>
          <w:p w14:paraId="794AFA37">
            <w:pPr>
              <w:spacing w:line="520" w:lineRule="exact"/>
              <w:jc w:val="center"/>
              <w:rPr>
                <w:rFonts w:hint="eastAsia" w:ascii="仿宋_GB2312" w:hAnsi="仿宋" w:eastAsia="仿宋_GB2312"/>
                <w:sz w:val="28"/>
                <w:szCs w:val="28"/>
              </w:rPr>
            </w:pPr>
          </w:p>
          <w:p w14:paraId="1EA6C0D3">
            <w:pPr>
              <w:spacing w:line="520" w:lineRule="exact"/>
              <w:jc w:val="center"/>
              <w:rPr>
                <w:rFonts w:hint="eastAsia" w:ascii="仿宋_GB2312" w:hAnsi="仿宋" w:eastAsia="仿宋_GB2312"/>
                <w:sz w:val="28"/>
                <w:szCs w:val="28"/>
              </w:rPr>
            </w:pPr>
          </w:p>
          <w:p w14:paraId="2ABCD1EC">
            <w:pPr>
              <w:spacing w:line="520" w:lineRule="exact"/>
              <w:jc w:val="center"/>
              <w:rPr>
                <w:rFonts w:hint="eastAsia" w:ascii="仿宋_GB2312" w:hAnsi="仿宋" w:eastAsia="仿宋_GB2312"/>
                <w:sz w:val="28"/>
                <w:szCs w:val="28"/>
              </w:rPr>
            </w:pPr>
          </w:p>
          <w:p w14:paraId="1839219C">
            <w:pPr>
              <w:spacing w:line="520" w:lineRule="exact"/>
              <w:jc w:val="center"/>
              <w:rPr>
                <w:rFonts w:hint="eastAsia" w:ascii="仿宋_GB2312" w:hAnsi="仿宋" w:eastAsia="仿宋_GB2312"/>
                <w:sz w:val="28"/>
                <w:szCs w:val="28"/>
              </w:rPr>
            </w:pPr>
          </w:p>
          <w:p w14:paraId="43CE8760">
            <w:pPr>
              <w:spacing w:line="520" w:lineRule="exact"/>
              <w:jc w:val="center"/>
              <w:rPr>
                <w:rFonts w:hint="eastAsia" w:ascii="仿宋_GB2312" w:hAnsi="仿宋" w:eastAsia="仿宋_GB2312"/>
                <w:sz w:val="28"/>
                <w:szCs w:val="28"/>
              </w:rPr>
            </w:pPr>
          </w:p>
          <w:p w14:paraId="66E5996D">
            <w:pPr>
              <w:spacing w:line="520" w:lineRule="exact"/>
              <w:jc w:val="center"/>
              <w:rPr>
                <w:rFonts w:ascii="仿宋_GB2312" w:hAnsi="仿宋" w:eastAsia="仿宋_GB2312"/>
                <w:sz w:val="28"/>
                <w:szCs w:val="28"/>
              </w:rPr>
            </w:pPr>
            <w:r>
              <w:rPr>
                <w:rFonts w:hint="eastAsia" w:ascii="仿宋_GB2312" w:hAnsi="仿宋" w:eastAsia="仿宋_GB2312"/>
                <w:sz w:val="28"/>
                <w:szCs w:val="28"/>
              </w:rPr>
              <w:t>技术方案分</w:t>
            </w:r>
          </w:p>
        </w:tc>
        <w:tc>
          <w:tcPr>
            <w:tcW w:w="5711" w:type="dxa"/>
          </w:tcPr>
          <w:p w14:paraId="662FA751">
            <w:pPr>
              <w:keepNext w:val="0"/>
              <w:keepLines w:val="0"/>
              <w:pageBreakBefore w:val="0"/>
              <w:widowControl w:val="0"/>
              <w:numPr>
                <w:ilvl w:val="0"/>
                <w:numId w:val="0"/>
              </w:numPr>
              <w:kinsoku/>
              <w:wordWrap/>
              <w:overflowPunct/>
              <w:topLinePunct w:val="0"/>
              <w:autoSpaceDE/>
              <w:autoSpaceDN/>
              <w:bidi w:val="0"/>
              <w:adjustRightInd/>
              <w:snapToGrid/>
              <w:spacing w:before="120" w:after="120" w:line="32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一档（1～</w:t>
            </w:r>
            <w:r>
              <w:rPr>
                <w:rFonts w:hint="eastAsia" w:ascii="仿宋" w:hAnsi="仿宋" w:eastAsia="仿宋" w:cs="仿宋"/>
                <w:sz w:val="28"/>
                <w:szCs w:val="28"/>
                <w:lang w:val="en-US" w:eastAsia="zh-CN"/>
              </w:rPr>
              <w:t>15</w:t>
            </w:r>
            <w:r>
              <w:rPr>
                <w:rFonts w:hint="eastAsia" w:ascii="仿宋" w:hAnsi="仿宋" w:eastAsia="仿宋" w:cs="仿宋"/>
                <w:sz w:val="28"/>
                <w:szCs w:val="28"/>
              </w:rPr>
              <w:t>分）：对采购项目需求理解正确，对采购单位的现状和需求的分析基本完整、逻辑清晰；方案描述了项目组织实施安排及基本技术措施，基本符合采购文件要求。</w:t>
            </w:r>
          </w:p>
          <w:p w14:paraId="64EEF598">
            <w:pPr>
              <w:keepNext w:val="0"/>
              <w:keepLines w:val="0"/>
              <w:pageBreakBefore w:val="0"/>
              <w:widowControl w:val="0"/>
              <w:numPr>
                <w:ilvl w:val="0"/>
                <w:numId w:val="0"/>
              </w:numPr>
              <w:kinsoku/>
              <w:wordWrap/>
              <w:overflowPunct/>
              <w:topLinePunct w:val="0"/>
              <w:autoSpaceDE/>
              <w:autoSpaceDN/>
              <w:bidi w:val="0"/>
              <w:adjustRightInd/>
              <w:snapToGrid/>
              <w:spacing w:before="120" w:after="120" w:line="32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二档（</w:t>
            </w:r>
            <w:r>
              <w:rPr>
                <w:rFonts w:hint="eastAsia" w:ascii="仿宋" w:hAnsi="仿宋" w:eastAsia="仿宋" w:cs="仿宋"/>
                <w:sz w:val="28"/>
                <w:szCs w:val="28"/>
                <w:lang w:val="en-US" w:eastAsia="zh-CN"/>
              </w:rPr>
              <w:t>16</w:t>
            </w:r>
            <w:r>
              <w:rPr>
                <w:rFonts w:hint="eastAsia" w:ascii="仿宋" w:hAnsi="仿宋" w:eastAsia="仿宋" w:cs="仿宋"/>
                <w:sz w:val="28"/>
                <w:szCs w:val="28"/>
              </w:rPr>
              <w:t>～</w:t>
            </w:r>
            <w:r>
              <w:rPr>
                <w:rFonts w:hint="eastAsia" w:ascii="仿宋" w:hAnsi="仿宋" w:eastAsia="仿宋" w:cs="仿宋"/>
                <w:sz w:val="28"/>
                <w:szCs w:val="28"/>
                <w:lang w:val="en-US" w:eastAsia="zh-CN"/>
              </w:rPr>
              <w:t>25</w:t>
            </w:r>
            <w:r>
              <w:rPr>
                <w:rFonts w:hint="eastAsia" w:ascii="仿宋" w:hAnsi="仿宋" w:eastAsia="仿宋" w:cs="仿宋"/>
                <w:sz w:val="28"/>
                <w:szCs w:val="28"/>
              </w:rPr>
              <w:t>分）：对采购项目需求理解正确，对采购单位的现状和需求的分析比较完整、逻辑清晰；方案描述详细</w:t>
            </w:r>
            <w:r>
              <w:rPr>
                <w:rFonts w:hint="eastAsia" w:ascii="仿宋" w:hAnsi="仿宋" w:eastAsia="仿宋" w:cs="仿宋"/>
                <w:sz w:val="28"/>
                <w:szCs w:val="28"/>
                <w:lang w:eastAsia="zh-CN"/>
              </w:rPr>
              <w:t>基本</w:t>
            </w:r>
            <w:r>
              <w:rPr>
                <w:rFonts w:hint="eastAsia" w:ascii="仿宋" w:hAnsi="仿宋" w:eastAsia="仿宋" w:cs="仿宋"/>
                <w:sz w:val="28"/>
                <w:szCs w:val="28"/>
              </w:rPr>
              <w:t>可行的技术服务措施，包含项目实施计划、技术路线、研究方法等；方案论述准确合理，且供应商具备较好的组织服务能力以及技术支撑能力；技术服务方案满足采购文件要求。</w:t>
            </w:r>
          </w:p>
          <w:p w14:paraId="68512934">
            <w:pPr>
              <w:keepNext w:val="0"/>
              <w:keepLines w:val="0"/>
              <w:pageBreakBefore w:val="0"/>
              <w:widowControl w:val="0"/>
              <w:numPr>
                <w:ilvl w:val="0"/>
                <w:numId w:val="0"/>
              </w:numPr>
              <w:kinsoku/>
              <w:wordWrap/>
              <w:overflowPunct/>
              <w:topLinePunct w:val="0"/>
              <w:autoSpaceDE/>
              <w:autoSpaceDN/>
              <w:bidi w:val="0"/>
              <w:adjustRightInd/>
              <w:snapToGrid/>
              <w:spacing w:before="120" w:after="120" w:line="320" w:lineRule="exact"/>
              <w:jc w:val="left"/>
              <w:textAlignment w:val="auto"/>
              <w:rPr>
                <w:rFonts w:ascii="仿宋_GB2312" w:hAnsi="仿宋" w:eastAsia="仿宋_GB2312"/>
                <w:sz w:val="28"/>
                <w:szCs w:val="28"/>
              </w:rPr>
            </w:pPr>
            <w:r>
              <w:rPr>
                <w:rFonts w:hint="eastAsia" w:ascii="仿宋" w:hAnsi="仿宋" w:eastAsia="仿宋" w:cs="仿宋"/>
                <w:sz w:val="28"/>
                <w:szCs w:val="28"/>
              </w:rPr>
              <w:t>三档（</w:t>
            </w:r>
            <w:r>
              <w:rPr>
                <w:rFonts w:hint="eastAsia" w:ascii="仿宋" w:hAnsi="仿宋" w:eastAsia="仿宋" w:cs="仿宋"/>
                <w:sz w:val="28"/>
                <w:szCs w:val="28"/>
                <w:lang w:val="en-US" w:eastAsia="zh-CN"/>
              </w:rPr>
              <w:t>26</w:t>
            </w:r>
            <w:r>
              <w:rPr>
                <w:rFonts w:hint="eastAsia" w:ascii="仿宋" w:hAnsi="仿宋" w:eastAsia="仿宋" w:cs="仿宋"/>
                <w:sz w:val="28"/>
                <w:szCs w:val="28"/>
              </w:rPr>
              <w:t>～</w:t>
            </w:r>
            <w:r>
              <w:rPr>
                <w:rFonts w:hint="eastAsia" w:ascii="仿宋" w:hAnsi="仿宋" w:eastAsia="仿宋" w:cs="仿宋"/>
                <w:sz w:val="28"/>
                <w:szCs w:val="28"/>
                <w:lang w:val="en-US" w:eastAsia="zh-CN"/>
              </w:rPr>
              <w:t>35</w:t>
            </w:r>
            <w:r>
              <w:rPr>
                <w:rFonts w:hint="eastAsia" w:ascii="仿宋" w:hAnsi="仿宋" w:eastAsia="仿宋" w:cs="仿宋"/>
                <w:sz w:val="28"/>
                <w:szCs w:val="28"/>
              </w:rPr>
              <w:t>分）：对采购项目需求理解正确，对采购单位的现状和需求的分析非常完整、透彻、逻辑清晰；方案详细描述优秀的技术服务措施</w:t>
            </w:r>
            <w:r>
              <w:rPr>
                <w:rFonts w:hint="eastAsia" w:ascii="仿宋" w:hAnsi="仿宋" w:eastAsia="仿宋" w:cs="仿宋"/>
                <w:sz w:val="28"/>
                <w:szCs w:val="28"/>
                <w:lang w:eastAsia="zh-CN"/>
              </w:rPr>
              <w:t>，包</w:t>
            </w:r>
            <w:r>
              <w:rPr>
                <w:rFonts w:hint="eastAsia" w:ascii="仿宋" w:hAnsi="仿宋" w:eastAsia="仿宋" w:cs="仿宋"/>
                <w:sz w:val="28"/>
                <w:szCs w:val="28"/>
              </w:rPr>
              <w:t>含研究的实施计划、技术路线、研究方法、进度安排、质量保障措施等</w:t>
            </w:r>
            <w:r>
              <w:rPr>
                <w:rFonts w:hint="eastAsia" w:ascii="仿宋" w:hAnsi="仿宋" w:eastAsia="仿宋" w:cs="仿宋"/>
                <w:sz w:val="28"/>
                <w:szCs w:val="28"/>
                <w:lang w:eastAsia="zh-CN"/>
              </w:rPr>
              <w:t>，</w:t>
            </w:r>
            <w:r>
              <w:rPr>
                <w:rFonts w:hint="eastAsia" w:ascii="仿宋" w:hAnsi="仿宋" w:eastAsia="仿宋" w:cs="仿宋"/>
                <w:sz w:val="28"/>
                <w:szCs w:val="28"/>
              </w:rPr>
              <w:t>提供科学的技术服务方式方法、强大的技术支撑能力等，具有针对本项目定制的技术支持及相关措施；提供的技术方案完全满足采购文件要求。</w:t>
            </w:r>
          </w:p>
        </w:tc>
        <w:tc>
          <w:tcPr>
            <w:tcW w:w="964" w:type="dxa"/>
            <w:vAlign w:val="center"/>
          </w:tcPr>
          <w:p w14:paraId="795E5FD6">
            <w:pPr>
              <w:spacing w:line="520" w:lineRule="exact"/>
              <w:jc w:val="center"/>
              <w:rPr>
                <w:rFonts w:hint="eastAsia" w:ascii="仿宋" w:hAnsi="仿宋" w:eastAsia="仿宋"/>
                <w:sz w:val="28"/>
                <w:szCs w:val="28"/>
                <w:lang w:val="en-US" w:eastAsia="zh-CN"/>
              </w:rPr>
            </w:pPr>
          </w:p>
          <w:p w14:paraId="32A54AF8">
            <w:pPr>
              <w:spacing w:line="520" w:lineRule="exact"/>
              <w:jc w:val="center"/>
              <w:rPr>
                <w:rFonts w:hint="eastAsia" w:ascii="仿宋" w:hAnsi="仿宋" w:eastAsia="仿宋"/>
                <w:sz w:val="28"/>
                <w:szCs w:val="28"/>
                <w:lang w:val="en-US" w:eastAsia="zh-CN"/>
              </w:rPr>
            </w:pPr>
          </w:p>
          <w:p w14:paraId="06F33E40">
            <w:pPr>
              <w:spacing w:line="520" w:lineRule="exact"/>
              <w:jc w:val="center"/>
              <w:rPr>
                <w:rFonts w:hint="eastAsia" w:ascii="仿宋" w:hAnsi="仿宋" w:eastAsia="仿宋"/>
                <w:sz w:val="28"/>
                <w:szCs w:val="28"/>
                <w:lang w:val="en-US" w:eastAsia="zh-CN"/>
              </w:rPr>
            </w:pPr>
          </w:p>
          <w:p w14:paraId="7719A7BA">
            <w:pPr>
              <w:spacing w:line="520" w:lineRule="exact"/>
              <w:jc w:val="center"/>
              <w:rPr>
                <w:rFonts w:hint="eastAsia" w:ascii="仿宋" w:hAnsi="仿宋" w:eastAsia="仿宋"/>
                <w:sz w:val="28"/>
                <w:szCs w:val="28"/>
                <w:lang w:val="en-US" w:eastAsia="zh-CN"/>
              </w:rPr>
            </w:pPr>
          </w:p>
          <w:p w14:paraId="3789B86F">
            <w:pPr>
              <w:spacing w:line="520" w:lineRule="exact"/>
              <w:jc w:val="center"/>
              <w:rPr>
                <w:rFonts w:hint="eastAsia" w:ascii="仿宋" w:hAnsi="仿宋" w:eastAsia="仿宋"/>
                <w:sz w:val="28"/>
                <w:szCs w:val="28"/>
                <w:lang w:val="en-US" w:eastAsia="zh-CN"/>
              </w:rPr>
            </w:pPr>
          </w:p>
          <w:p w14:paraId="01F982B2">
            <w:pPr>
              <w:spacing w:line="520" w:lineRule="exact"/>
              <w:jc w:val="center"/>
              <w:rPr>
                <w:rFonts w:hint="eastAsia" w:ascii="仿宋" w:hAnsi="仿宋" w:eastAsia="仿宋"/>
                <w:sz w:val="28"/>
                <w:szCs w:val="28"/>
                <w:lang w:val="en-US" w:eastAsia="zh-CN"/>
              </w:rPr>
            </w:pPr>
          </w:p>
          <w:p w14:paraId="083AA7B0">
            <w:pPr>
              <w:spacing w:line="52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35</w:t>
            </w:r>
          </w:p>
        </w:tc>
      </w:tr>
      <w:tr w14:paraId="5120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03FF9A38">
            <w:pPr>
              <w:spacing w:line="52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3</w:t>
            </w:r>
          </w:p>
        </w:tc>
        <w:tc>
          <w:tcPr>
            <w:tcW w:w="1353" w:type="dxa"/>
            <w:vAlign w:val="center"/>
          </w:tcPr>
          <w:p w14:paraId="6B2B9D21">
            <w:pPr>
              <w:spacing w:line="520" w:lineRule="exact"/>
              <w:jc w:val="center"/>
              <w:rPr>
                <w:rFonts w:ascii="仿宋_GB2312" w:hAnsi="仿宋" w:eastAsia="仿宋_GB2312"/>
                <w:sz w:val="28"/>
                <w:szCs w:val="28"/>
              </w:rPr>
            </w:pPr>
            <w:r>
              <w:rPr>
                <w:rFonts w:hint="eastAsia" w:ascii="仿宋_GB2312" w:hAnsi="仿宋" w:eastAsia="仿宋_GB2312"/>
                <w:sz w:val="28"/>
                <w:szCs w:val="28"/>
                <w:lang w:eastAsia="zh-CN"/>
              </w:rPr>
              <w:t>专业技术人员</w:t>
            </w:r>
            <w:r>
              <w:rPr>
                <w:rFonts w:hint="eastAsia" w:ascii="仿宋_GB2312" w:hAnsi="仿宋" w:eastAsia="仿宋_GB2312"/>
                <w:sz w:val="28"/>
                <w:szCs w:val="28"/>
              </w:rPr>
              <w:t>分</w:t>
            </w:r>
          </w:p>
        </w:tc>
        <w:tc>
          <w:tcPr>
            <w:tcW w:w="5711" w:type="dxa"/>
          </w:tcPr>
          <w:p w14:paraId="50947095">
            <w:pPr>
              <w:keepNext w:val="0"/>
              <w:keepLines w:val="0"/>
              <w:pageBreakBefore w:val="0"/>
              <w:widowControl w:val="0"/>
              <w:numPr>
                <w:ilvl w:val="0"/>
                <w:numId w:val="0"/>
              </w:numPr>
              <w:kinsoku/>
              <w:wordWrap/>
              <w:overflowPunct/>
              <w:topLinePunct w:val="0"/>
              <w:autoSpaceDE/>
              <w:autoSpaceDN/>
              <w:bidi w:val="0"/>
              <w:adjustRightInd/>
              <w:snapToGrid/>
              <w:spacing w:before="120" w:after="120" w:line="32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评分对象为供应商在册的船舶工程</w:t>
            </w:r>
            <w:r>
              <w:rPr>
                <w:rFonts w:hint="eastAsia" w:ascii="仿宋" w:hAnsi="仿宋" w:eastAsia="仿宋" w:cs="仿宋"/>
                <w:sz w:val="28"/>
                <w:szCs w:val="28"/>
                <w:lang w:eastAsia="zh-CN"/>
              </w:rPr>
              <w:t>、</w:t>
            </w:r>
            <w:r>
              <w:rPr>
                <w:rFonts w:hint="eastAsia" w:ascii="仿宋" w:hAnsi="仿宋" w:eastAsia="仿宋" w:cs="仿宋"/>
                <w:sz w:val="28"/>
                <w:szCs w:val="28"/>
              </w:rPr>
              <w:t>轮机</w:t>
            </w:r>
            <w:r>
              <w:rPr>
                <w:rFonts w:hint="eastAsia" w:ascii="仿宋" w:hAnsi="仿宋" w:eastAsia="仿宋" w:cs="仿宋"/>
                <w:sz w:val="28"/>
                <w:szCs w:val="28"/>
                <w:lang w:eastAsia="zh-CN"/>
              </w:rPr>
              <w:t>工程或航道工程</w:t>
            </w:r>
            <w:r>
              <w:rPr>
                <w:rFonts w:hint="eastAsia" w:ascii="仿宋" w:hAnsi="仿宋" w:eastAsia="仿宋" w:cs="仿宋"/>
                <w:sz w:val="28"/>
                <w:szCs w:val="28"/>
              </w:rPr>
              <w:t>等相关专业并具有相应职称证书的技术人员（需提交职称证书和最近半年社保凭证）</w:t>
            </w:r>
            <w:r>
              <w:rPr>
                <w:rFonts w:hint="eastAsia" w:ascii="仿宋" w:hAnsi="仿宋" w:eastAsia="仿宋" w:cs="仿宋"/>
                <w:sz w:val="28"/>
                <w:szCs w:val="28"/>
                <w:lang w:eastAsia="zh-CN"/>
              </w:rPr>
              <w:t>。</w:t>
            </w:r>
            <w:r>
              <w:rPr>
                <w:rFonts w:hint="eastAsia" w:ascii="仿宋" w:hAnsi="仿宋" w:eastAsia="仿宋" w:cs="仿宋"/>
                <w:sz w:val="28"/>
                <w:szCs w:val="28"/>
              </w:rPr>
              <w:t>单位在册船舶工程</w:t>
            </w:r>
            <w:r>
              <w:rPr>
                <w:rFonts w:hint="eastAsia" w:ascii="仿宋" w:hAnsi="仿宋" w:eastAsia="仿宋" w:cs="仿宋"/>
                <w:sz w:val="28"/>
                <w:szCs w:val="28"/>
                <w:lang w:eastAsia="zh-CN"/>
              </w:rPr>
              <w:t>、</w:t>
            </w:r>
            <w:r>
              <w:rPr>
                <w:rFonts w:hint="eastAsia" w:ascii="仿宋" w:hAnsi="仿宋" w:eastAsia="仿宋" w:cs="仿宋"/>
                <w:sz w:val="28"/>
                <w:szCs w:val="28"/>
              </w:rPr>
              <w:t>轮机工程</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航道工程、航海技术及船舶电气专业</w:t>
            </w:r>
            <w:r>
              <w:rPr>
                <w:rFonts w:hint="eastAsia" w:ascii="仿宋" w:hAnsi="仿宋" w:eastAsia="仿宋" w:cs="仿宋"/>
                <w:sz w:val="28"/>
                <w:szCs w:val="28"/>
              </w:rPr>
              <w:t>相关技术人员5人以</w:t>
            </w:r>
            <w:r>
              <w:rPr>
                <w:rFonts w:hint="eastAsia" w:ascii="仿宋" w:hAnsi="仿宋" w:eastAsia="仿宋" w:cs="仿宋"/>
                <w:sz w:val="28"/>
                <w:szCs w:val="28"/>
                <w:lang w:eastAsia="zh-CN"/>
              </w:rPr>
              <w:t>下的，此项不得分；</w:t>
            </w:r>
            <w:r>
              <w:rPr>
                <w:rFonts w:hint="eastAsia" w:ascii="仿宋" w:hAnsi="仿宋" w:eastAsia="仿宋" w:cs="仿宋"/>
                <w:sz w:val="28"/>
                <w:szCs w:val="28"/>
                <w:lang w:val="en-US" w:eastAsia="zh-CN"/>
              </w:rPr>
              <w:t>5人以上的，</w:t>
            </w:r>
            <w:r>
              <w:rPr>
                <w:rFonts w:hint="eastAsia" w:ascii="仿宋" w:hAnsi="仿宋" w:eastAsia="仿宋" w:cs="仿宋"/>
                <w:sz w:val="28"/>
                <w:szCs w:val="28"/>
              </w:rPr>
              <w:t>按职称等级计分，各项得分累计不超过20分：</w:t>
            </w:r>
          </w:p>
          <w:p w14:paraId="459D4016">
            <w:pPr>
              <w:keepNext w:val="0"/>
              <w:keepLines w:val="0"/>
              <w:pageBreakBefore w:val="0"/>
              <w:widowControl w:val="0"/>
              <w:numPr>
                <w:ilvl w:val="0"/>
                <w:numId w:val="0"/>
              </w:numPr>
              <w:kinsoku/>
              <w:wordWrap/>
              <w:overflowPunct/>
              <w:topLinePunct w:val="0"/>
              <w:autoSpaceDE/>
              <w:autoSpaceDN/>
              <w:bidi w:val="0"/>
              <w:adjustRightInd/>
              <w:snapToGrid/>
              <w:spacing w:before="120" w:after="120" w:line="320" w:lineRule="exact"/>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中级职称人员，每人得</w:t>
            </w:r>
            <w:r>
              <w:rPr>
                <w:rFonts w:hint="eastAsia" w:ascii="仿宋" w:hAnsi="仿宋" w:eastAsia="仿宋" w:cs="仿宋"/>
                <w:sz w:val="28"/>
                <w:szCs w:val="28"/>
                <w:lang w:val="en-US" w:eastAsia="zh-CN"/>
              </w:rPr>
              <w:t>2</w:t>
            </w:r>
            <w:r>
              <w:rPr>
                <w:rFonts w:hint="eastAsia" w:ascii="仿宋" w:hAnsi="仿宋" w:eastAsia="仿宋" w:cs="仿宋"/>
                <w:sz w:val="28"/>
                <w:szCs w:val="28"/>
              </w:rPr>
              <w:t>分；</w:t>
            </w:r>
          </w:p>
          <w:p w14:paraId="74516927">
            <w:pPr>
              <w:keepNext w:val="0"/>
              <w:keepLines w:val="0"/>
              <w:pageBreakBefore w:val="0"/>
              <w:widowControl w:val="0"/>
              <w:numPr>
                <w:ilvl w:val="0"/>
                <w:numId w:val="0"/>
              </w:numPr>
              <w:kinsoku/>
              <w:wordWrap/>
              <w:overflowPunct/>
              <w:topLinePunct w:val="0"/>
              <w:autoSpaceDE/>
              <w:autoSpaceDN/>
              <w:bidi w:val="0"/>
              <w:adjustRightInd/>
              <w:snapToGrid/>
              <w:spacing w:before="120" w:after="120" w:line="320" w:lineRule="exact"/>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高级职称人员（含副高级工程师、副教授、副研究员及以上），每人得4分；</w:t>
            </w:r>
          </w:p>
          <w:p w14:paraId="22230737">
            <w:pPr>
              <w:keepNext w:val="0"/>
              <w:keepLines w:val="0"/>
              <w:pageBreakBefore w:val="0"/>
              <w:widowControl w:val="0"/>
              <w:numPr>
                <w:ilvl w:val="0"/>
                <w:numId w:val="0"/>
              </w:numPr>
              <w:kinsoku/>
              <w:wordWrap/>
              <w:overflowPunct/>
              <w:topLinePunct w:val="0"/>
              <w:autoSpaceDE/>
              <w:autoSpaceDN/>
              <w:bidi w:val="0"/>
              <w:adjustRightInd/>
              <w:snapToGrid/>
              <w:spacing w:before="120" w:after="120" w:line="320" w:lineRule="exact"/>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正高级职称人员，每人得5分。</w:t>
            </w:r>
          </w:p>
          <w:p w14:paraId="0079DECF">
            <w:pPr>
              <w:keepNext w:val="0"/>
              <w:keepLines w:val="0"/>
              <w:pageBreakBefore w:val="0"/>
              <w:widowControl w:val="0"/>
              <w:numPr>
                <w:ilvl w:val="0"/>
                <w:numId w:val="0"/>
              </w:numPr>
              <w:kinsoku/>
              <w:wordWrap/>
              <w:overflowPunct/>
              <w:topLinePunct w:val="0"/>
              <w:autoSpaceDE/>
              <w:autoSpaceDN/>
              <w:bidi w:val="0"/>
              <w:adjustRightInd/>
              <w:snapToGrid/>
              <w:spacing w:before="120" w:after="120" w:line="320" w:lineRule="exact"/>
              <w:jc w:val="left"/>
              <w:textAlignment w:val="auto"/>
              <w:rPr>
                <w:rFonts w:ascii="仿宋_GB2312" w:hAnsi="仿宋" w:eastAsia="仿宋_GB2312"/>
                <w:sz w:val="28"/>
                <w:szCs w:val="28"/>
              </w:rPr>
            </w:pPr>
            <w:r>
              <w:rPr>
                <w:rFonts w:hint="eastAsia" w:ascii="仿宋" w:hAnsi="仿宋" w:eastAsia="仿宋" w:cs="仿宋"/>
                <w:sz w:val="28"/>
                <w:szCs w:val="28"/>
              </w:rPr>
              <w:t>注：人员职称专业需与船舶工程、轮机工程</w:t>
            </w:r>
            <w:r>
              <w:rPr>
                <w:rFonts w:hint="eastAsia" w:ascii="仿宋" w:hAnsi="仿宋" w:eastAsia="仿宋" w:cs="仿宋"/>
                <w:sz w:val="28"/>
                <w:szCs w:val="28"/>
                <w:lang w:eastAsia="zh-CN"/>
              </w:rPr>
              <w:t>、</w:t>
            </w:r>
            <w:r>
              <w:rPr>
                <w:rFonts w:hint="eastAsia" w:ascii="仿宋" w:hAnsi="仿宋" w:eastAsia="仿宋" w:cs="仿宋"/>
                <w:sz w:val="28"/>
                <w:szCs w:val="28"/>
              </w:rPr>
              <w:t>航道工程</w:t>
            </w:r>
            <w:r>
              <w:rPr>
                <w:rFonts w:hint="eastAsia" w:ascii="仿宋" w:hAnsi="仿宋" w:eastAsia="仿宋" w:cs="仿宋"/>
                <w:sz w:val="28"/>
                <w:szCs w:val="28"/>
                <w:lang w:eastAsia="zh-CN"/>
              </w:rPr>
              <w:t>、航海技术、船舶电气</w:t>
            </w:r>
            <w:r>
              <w:rPr>
                <w:rFonts w:hint="eastAsia" w:ascii="仿宋" w:hAnsi="仿宋" w:eastAsia="仿宋" w:cs="仿宋"/>
                <w:sz w:val="28"/>
                <w:szCs w:val="28"/>
              </w:rPr>
              <w:t>相关，非相关专业职称不计分。</w:t>
            </w:r>
            <w:r>
              <w:rPr>
                <w:rFonts w:hint="eastAsia" w:ascii="仿宋" w:hAnsi="仿宋" w:eastAsia="仿宋" w:cs="仿宋"/>
                <w:sz w:val="28"/>
                <w:szCs w:val="28"/>
                <w:lang w:eastAsia="zh-CN"/>
              </w:rPr>
              <w:t>同一人以最高职称得分计</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次，不重复计分。</w:t>
            </w:r>
          </w:p>
        </w:tc>
        <w:tc>
          <w:tcPr>
            <w:tcW w:w="964" w:type="dxa"/>
            <w:vAlign w:val="center"/>
          </w:tcPr>
          <w:p w14:paraId="401EE62F">
            <w:pPr>
              <w:spacing w:line="520" w:lineRule="exact"/>
              <w:jc w:val="center"/>
              <w:rPr>
                <w:rFonts w:ascii="仿宋" w:hAnsi="仿宋" w:eastAsia="仿宋"/>
                <w:sz w:val="28"/>
                <w:szCs w:val="28"/>
              </w:rPr>
            </w:pPr>
            <w:r>
              <w:rPr>
                <w:rFonts w:ascii="仿宋" w:hAnsi="仿宋" w:eastAsia="仿宋"/>
                <w:sz w:val="28"/>
                <w:szCs w:val="28"/>
              </w:rPr>
              <w:t>20</w:t>
            </w:r>
          </w:p>
        </w:tc>
      </w:tr>
      <w:tr w14:paraId="3DCE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top w:val="double" w:color="auto" w:sz="4" w:space="0"/>
            </w:tcBorders>
            <w:vAlign w:val="center"/>
          </w:tcPr>
          <w:p w14:paraId="0BE3E28E">
            <w:pPr>
              <w:spacing w:line="52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4</w:t>
            </w:r>
          </w:p>
        </w:tc>
        <w:tc>
          <w:tcPr>
            <w:tcW w:w="1353" w:type="dxa"/>
            <w:tcBorders>
              <w:top w:val="double" w:color="auto" w:sz="4" w:space="0"/>
            </w:tcBorders>
          </w:tcPr>
          <w:p w14:paraId="1C1670E8">
            <w:pPr>
              <w:spacing w:line="520" w:lineRule="exact"/>
              <w:rPr>
                <w:rFonts w:ascii="仿宋_GB2312" w:hAnsi="仿宋" w:eastAsia="仿宋_GB2312"/>
                <w:sz w:val="28"/>
                <w:szCs w:val="28"/>
              </w:rPr>
            </w:pPr>
            <w:r>
              <w:rPr>
                <w:rFonts w:hint="eastAsia" w:ascii="仿宋_GB2312" w:hAnsi="仿宋" w:eastAsia="仿宋_GB2312"/>
                <w:sz w:val="28"/>
                <w:szCs w:val="28"/>
              </w:rPr>
              <w:t>商务分</w:t>
            </w:r>
          </w:p>
        </w:tc>
        <w:tc>
          <w:tcPr>
            <w:tcW w:w="5711" w:type="dxa"/>
            <w:tcBorders>
              <w:top w:val="double" w:color="auto" w:sz="4" w:space="0"/>
            </w:tcBorders>
          </w:tcPr>
          <w:p w14:paraId="5C7B1B09">
            <w:pPr>
              <w:spacing w:line="520" w:lineRule="exact"/>
              <w:rPr>
                <w:rFonts w:ascii="仿宋_GB2312" w:hAnsi="仿宋" w:eastAsia="仿宋_GB2312"/>
                <w:sz w:val="28"/>
                <w:szCs w:val="28"/>
              </w:rPr>
            </w:pPr>
            <w:r>
              <w:rPr>
                <w:rFonts w:hint="eastAsia" w:ascii="仿宋_GB2312" w:hAnsi="仿宋" w:eastAsia="仿宋_GB2312"/>
                <w:sz w:val="28"/>
                <w:szCs w:val="28"/>
              </w:rPr>
              <w:t>包括项目业绩、信誉</w:t>
            </w:r>
            <w:r>
              <w:rPr>
                <w:rFonts w:hint="eastAsia" w:ascii="仿宋_GB2312" w:hAnsi="仿宋" w:eastAsia="仿宋_GB2312"/>
                <w:sz w:val="28"/>
                <w:szCs w:val="28"/>
                <w:lang w:eastAsia="zh-CN"/>
              </w:rPr>
              <w:t>、售后服务</w:t>
            </w:r>
            <w:r>
              <w:rPr>
                <w:rFonts w:hint="eastAsia" w:ascii="仿宋_GB2312" w:hAnsi="仿宋" w:eastAsia="仿宋_GB2312"/>
                <w:sz w:val="28"/>
                <w:szCs w:val="28"/>
              </w:rPr>
              <w:t>等。</w:t>
            </w:r>
          </w:p>
        </w:tc>
        <w:tc>
          <w:tcPr>
            <w:tcW w:w="964" w:type="dxa"/>
            <w:tcBorders>
              <w:top w:val="double" w:color="auto" w:sz="4" w:space="0"/>
            </w:tcBorders>
          </w:tcPr>
          <w:p w14:paraId="511C878F">
            <w:pPr>
              <w:spacing w:line="52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35</w:t>
            </w:r>
          </w:p>
        </w:tc>
      </w:tr>
      <w:tr w14:paraId="524C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2AF36782">
            <w:pPr>
              <w:spacing w:line="520" w:lineRule="exact"/>
              <w:jc w:val="center"/>
              <w:rPr>
                <w:rFonts w:hint="eastAsia" w:ascii="仿宋_GB2312" w:hAnsi="仿宋" w:eastAsia="仿宋_GB2312"/>
                <w:sz w:val="28"/>
                <w:szCs w:val="28"/>
                <w:lang w:val="en-US" w:eastAsia="zh-CN"/>
              </w:rPr>
            </w:pPr>
          </w:p>
          <w:p w14:paraId="1B79861B">
            <w:pPr>
              <w:spacing w:line="520" w:lineRule="exact"/>
              <w:jc w:val="center"/>
              <w:rPr>
                <w:rFonts w:hint="eastAsia" w:ascii="仿宋_GB2312" w:hAnsi="仿宋" w:eastAsia="仿宋_GB2312"/>
                <w:sz w:val="28"/>
                <w:szCs w:val="28"/>
                <w:lang w:val="en-US" w:eastAsia="zh-CN"/>
              </w:rPr>
            </w:pPr>
          </w:p>
          <w:p w14:paraId="252A9231">
            <w:pPr>
              <w:spacing w:line="520" w:lineRule="exact"/>
              <w:jc w:val="center"/>
              <w:rPr>
                <w:rFonts w:hint="eastAsia" w:ascii="仿宋_GB2312" w:hAnsi="仿宋" w:eastAsia="仿宋_GB2312"/>
                <w:sz w:val="28"/>
                <w:szCs w:val="28"/>
                <w:lang w:val="en-US" w:eastAsia="zh-CN"/>
              </w:rPr>
            </w:pPr>
          </w:p>
          <w:p w14:paraId="78CC6A7B">
            <w:pPr>
              <w:spacing w:line="520" w:lineRule="exact"/>
              <w:jc w:val="center"/>
              <w:rPr>
                <w:rFonts w:hint="eastAsia" w:ascii="仿宋_GB2312" w:hAnsi="仿宋" w:eastAsia="仿宋_GB2312"/>
                <w:sz w:val="28"/>
                <w:szCs w:val="28"/>
                <w:lang w:val="en-US" w:eastAsia="zh-CN"/>
              </w:rPr>
            </w:pPr>
          </w:p>
          <w:p w14:paraId="06A685F5">
            <w:pPr>
              <w:spacing w:line="520" w:lineRule="exact"/>
              <w:jc w:val="center"/>
              <w:rPr>
                <w:rFonts w:ascii="仿宋_GB2312" w:hAnsi="仿宋" w:eastAsia="仿宋_GB2312"/>
                <w:sz w:val="28"/>
                <w:szCs w:val="28"/>
              </w:rPr>
            </w:pPr>
            <w:r>
              <w:rPr>
                <w:rFonts w:hint="eastAsia" w:ascii="仿宋_GB2312" w:hAnsi="仿宋" w:eastAsia="仿宋_GB2312"/>
                <w:sz w:val="28"/>
                <w:szCs w:val="28"/>
                <w:lang w:val="en-US" w:eastAsia="zh-CN"/>
              </w:rPr>
              <w:t>4</w:t>
            </w:r>
            <w:r>
              <w:rPr>
                <w:rFonts w:hint="eastAsia" w:ascii="仿宋_GB2312" w:hAnsi="仿宋" w:eastAsia="仿宋_GB2312"/>
                <w:sz w:val="28"/>
                <w:szCs w:val="28"/>
              </w:rPr>
              <w:t>.1</w:t>
            </w:r>
          </w:p>
        </w:tc>
        <w:tc>
          <w:tcPr>
            <w:tcW w:w="1353" w:type="dxa"/>
            <w:vAlign w:val="center"/>
          </w:tcPr>
          <w:p w14:paraId="607FB6E8">
            <w:pPr>
              <w:spacing w:line="520" w:lineRule="exact"/>
              <w:jc w:val="center"/>
              <w:rPr>
                <w:rFonts w:hint="eastAsia" w:ascii="仿宋_GB2312" w:hAnsi="仿宋" w:eastAsia="仿宋_GB2312"/>
                <w:sz w:val="28"/>
                <w:szCs w:val="28"/>
              </w:rPr>
            </w:pPr>
          </w:p>
          <w:p w14:paraId="1F155950">
            <w:pPr>
              <w:spacing w:line="520" w:lineRule="exact"/>
              <w:jc w:val="center"/>
              <w:rPr>
                <w:rFonts w:hint="eastAsia" w:ascii="仿宋_GB2312" w:hAnsi="仿宋" w:eastAsia="仿宋_GB2312"/>
                <w:sz w:val="28"/>
                <w:szCs w:val="28"/>
              </w:rPr>
            </w:pPr>
          </w:p>
          <w:p w14:paraId="229552C2">
            <w:pPr>
              <w:spacing w:line="520" w:lineRule="exact"/>
              <w:jc w:val="center"/>
              <w:rPr>
                <w:rFonts w:hint="eastAsia" w:ascii="仿宋_GB2312" w:hAnsi="仿宋" w:eastAsia="仿宋_GB2312"/>
                <w:sz w:val="28"/>
                <w:szCs w:val="28"/>
              </w:rPr>
            </w:pPr>
          </w:p>
          <w:p w14:paraId="59DC7F9F">
            <w:pPr>
              <w:spacing w:line="520" w:lineRule="exact"/>
              <w:jc w:val="center"/>
              <w:rPr>
                <w:rFonts w:hint="eastAsia" w:ascii="仿宋_GB2312" w:hAnsi="仿宋" w:eastAsia="仿宋_GB2312"/>
                <w:sz w:val="28"/>
                <w:szCs w:val="28"/>
              </w:rPr>
            </w:pPr>
          </w:p>
          <w:p w14:paraId="13F7F904">
            <w:pPr>
              <w:spacing w:line="520" w:lineRule="exact"/>
              <w:jc w:val="center"/>
              <w:rPr>
                <w:rFonts w:ascii="仿宋_GB2312" w:hAnsi="仿宋" w:eastAsia="仿宋_GB2312"/>
                <w:sz w:val="28"/>
                <w:szCs w:val="28"/>
              </w:rPr>
            </w:pPr>
            <w:r>
              <w:rPr>
                <w:rFonts w:hint="eastAsia" w:ascii="仿宋_GB2312" w:hAnsi="仿宋" w:eastAsia="仿宋_GB2312"/>
                <w:sz w:val="28"/>
                <w:szCs w:val="28"/>
              </w:rPr>
              <w:t>项目业绩分</w:t>
            </w:r>
          </w:p>
        </w:tc>
        <w:tc>
          <w:tcPr>
            <w:tcW w:w="5711" w:type="dxa"/>
          </w:tcPr>
          <w:p w14:paraId="6A70CCB2">
            <w:pPr>
              <w:keepNext w:val="0"/>
              <w:keepLines w:val="0"/>
              <w:pageBreakBefore w:val="0"/>
              <w:widowControl w:val="0"/>
              <w:numPr>
                <w:ilvl w:val="0"/>
                <w:numId w:val="0"/>
              </w:numPr>
              <w:kinsoku/>
              <w:wordWrap/>
              <w:overflowPunct/>
              <w:topLinePunct w:val="0"/>
              <w:autoSpaceDE/>
              <w:autoSpaceDN/>
              <w:bidi w:val="0"/>
              <w:adjustRightInd/>
              <w:snapToGrid/>
              <w:spacing w:before="120" w:after="120" w:line="320" w:lineRule="exact"/>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项目组人员每承担一项省部级船舶相关研究项目，得</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p w14:paraId="7ED6717D">
            <w:pPr>
              <w:keepNext w:val="0"/>
              <w:keepLines w:val="0"/>
              <w:pageBreakBefore w:val="0"/>
              <w:widowControl w:val="0"/>
              <w:numPr>
                <w:ilvl w:val="0"/>
                <w:numId w:val="0"/>
              </w:numPr>
              <w:kinsoku/>
              <w:wordWrap/>
              <w:overflowPunct/>
              <w:topLinePunct w:val="0"/>
              <w:autoSpaceDE/>
              <w:autoSpaceDN/>
              <w:bidi w:val="0"/>
              <w:adjustRightInd/>
              <w:snapToGrid/>
              <w:spacing w:before="120" w:after="120" w:line="320" w:lineRule="exact"/>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项目组人员每承担一项市厅级船舶相关研究项目，得</w:t>
            </w:r>
            <w:r>
              <w:rPr>
                <w:rFonts w:hint="eastAsia" w:ascii="仿宋" w:hAnsi="仿宋" w:eastAsia="仿宋" w:cs="仿宋"/>
                <w:sz w:val="28"/>
                <w:szCs w:val="28"/>
                <w:lang w:val="en-US" w:eastAsia="zh-CN"/>
              </w:rPr>
              <w:t>2</w:t>
            </w:r>
            <w:r>
              <w:rPr>
                <w:rFonts w:hint="eastAsia" w:ascii="仿宋" w:hAnsi="仿宋" w:eastAsia="仿宋" w:cs="仿宋"/>
                <w:sz w:val="28"/>
                <w:szCs w:val="28"/>
              </w:rPr>
              <w:t>分；</w:t>
            </w:r>
          </w:p>
          <w:p w14:paraId="40773023">
            <w:pPr>
              <w:keepNext w:val="0"/>
              <w:keepLines w:val="0"/>
              <w:pageBreakBefore w:val="0"/>
              <w:widowControl w:val="0"/>
              <w:numPr>
                <w:ilvl w:val="0"/>
                <w:numId w:val="0"/>
              </w:numPr>
              <w:kinsoku/>
              <w:wordWrap/>
              <w:overflowPunct/>
              <w:topLinePunct w:val="0"/>
              <w:autoSpaceDE/>
              <w:autoSpaceDN/>
              <w:bidi w:val="0"/>
              <w:adjustRightInd/>
              <w:snapToGrid/>
              <w:spacing w:before="120" w:after="120" w:line="320" w:lineRule="exact"/>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项目组人员每承担一项</w:t>
            </w:r>
            <w:r>
              <w:rPr>
                <w:rFonts w:hint="eastAsia" w:ascii="仿宋" w:hAnsi="仿宋" w:eastAsia="仿宋" w:cs="仿宋"/>
                <w:sz w:val="28"/>
                <w:szCs w:val="28"/>
                <w:lang w:val="en-US" w:eastAsia="zh-CN"/>
              </w:rPr>
              <w:t>船舶相关地方/行业标准研究，得3分；</w:t>
            </w:r>
          </w:p>
          <w:p w14:paraId="10D1BF6F">
            <w:pPr>
              <w:keepNext w:val="0"/>
              <w:keepLines w:val="0"/>
              <w:pageBreakBefore w:val="0"/>
              <w:widowControl w:val="0"/>
              <w:numPr>
                <w:ilvl w:val="0"/>
                <w:numId w:val="0"/>
              </w:numPr>
              <w:kinsoku/>
              <w:wordWrap/>
              <w:overflowPunct/>
              <w:topLinePunct w:val="0"/>
              <w:autoSpaceDE/>
              <w:autoSpaceDN/>
              <w:bidi w:val="0"/>
              <w:adjustRightInd/>
              <w:snapToGrid/>
              <w:spacing w:before="120" w:after="120" w:line="320" w:lineRule="exact"/>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每建有一个省部级工程技术研究中心或科研平台，得</w:t>
            </w:r>
            <w:r>
              <w:rPr>
                <w:rFonts w:hint="eastAsia" w:ascii="仿宋" w:hAnsi="仿宋" w:eastAsia="仿宋" w:cs="仿宋"/>
                <w:sz w:val="28"/>
                <w:szCs w:val="28"/>
                <w:lang w:val="en-US" w:eastAsia="zh-CN"/>
              </w:rPr>
              <w:t>3</w:t>
            </w:r>
            <w:r>
              <w:rPr>
                <w:rFonts w:hint="eastAsia" w:ascii="仿宋" w:hAnsi="仿宋" w:eastAsia="仿宋" w:cs="仿宋"/>
                <w:sz w:val="28"/>
                <w:szCs w:val="28"/>
              </w:rPr>
              <w:t>分；</w:t>
            </w:r>
          </w:p>
          <w:p w14:paraId="62C8DBF0">
            <w:pPr>
              <w:keepNext w:val="0"/>
              <w:keepLines w:val="0"/>
              <w:pageBreakBefore w:val="0"/>
              <w:widowControl w:val="0"/>
              <w:numPr>
                <w:ilvl w:val="0"/>
                <w:numId w:val="0"/>
              </w:numPr>
              <w:kinsoku/>
              <w:wordWrap/>
              <w:overflowPunct/>
              <w:topLinePunct w:val="0"/>
              <w:autoSpaceDE/>
              <w:autoSpaceDN/>
              <w:bidi w:val="0"/>
              <w:adjustRightInd/>
              <w:snapToGrid/>
              <w:spacing w:before="120" w:after="120" w:line="320" w:lineRule="exact"/>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每建有一个市厅级工程技术研究中心或科研平台，得</w:t>
            </w:r>
            <w:r>
              <w:rPr>
                <w:rFonts w:hint="eastAsia" w:ascii="仿宋" w:hAnsi="仿宋" w:eastAsia="仿宋" w:cs="仿宋"/>
                <w:sz w:val="28"/>
                <w:szCs w:val="28"/>
                <w:lang w:val="en-US" w:eastAsia="zh-CN"/>
              </w:rPr>
              <w:t>2</w:t>
            </w:r>
            <w:r>
              <w:rPr>
                <w:rFonts w:hint="eastAsia" w:ascii="仿宋" w:hAnsi="仿宋" w:eastAsia="仿宋" w:cs="仿宋"/>
                <w:sz w:val="28"/>
                <w:szCs w:val="28"/>
              </w:rPr>
              <w:t>分</w:t>
            </w:r>
            <w:r>
              <w:rPr>
                <w:rFonts w:hint="eastAsia" w:ascii="仿宋" w:hAnsi="仿宋" w:eastAsia="仿宋" w:cs="仿宋"/>
                <w:sz w:val="28"/>
                <w:szCs w:val="28"/>
                <w:lang w:val="en-US" w:eastAsia="zh-CN"/>
              </w:rPr>
              <w:t>。</w:t>
            </w:r>
          </w:p>
          <w:p w14:paraId="22C856F9">
            <w:pPr>
              <w:keepNext w:val="0"/>
              <w:keepLines w:val="0"/>
              <w:pageBreakBefore w:val="0"/>
              <w:widowControl w:val="0"/>
              <w:numPr>
                <w:ilvl w:val="0"/>
                <w:numId w:val="0"/>
              </w:numPr>
              <w:kinsoku/>
              <w:wordWrap/>
              <w:overflowPunct/>
              <w:topLinePunct w:val="0"/>
              <w:autoSpaceDE/>
              <w:autoSpaceDN/>
              <w:bidi w:val="0"/>
              <w:adjustRightInd/>
              <w:snapToGrid/>
              <w:spacing w:before="120" w:after="120" w:line="320" w:lineRule="exact"/>
              <w:jc w:val="left"/>
              <w:textAlignment w:val="auto"/>
              <w:rPr>
                <w:rFonts w:ascii="仿宋_GB2312" w:hAnsi="仿宋" w:eastAsia="仿宋_GB2312"/>
                <w:sz w:val="28"/>
                <w:szCs w:val="28"/>
              </w:rPr>
            </w:pPr>
            <w:r>
              <w:rPr>
                <w:rFonts w:hint="eastAsia" w:ascii="仿宋" w:hAnsi="仿宋" w:eastAsia="仿宋" w:cs="仿宋"/>
                <w:sz w:val="28"/>
                <w:szCs w:val="28"/>
                <w:lang w:eastAsia="zh-CN"/>
              </w:rPr>
              <w:t>该项以项目计，同一项目以最高得分计</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次，不重复计分。</w:t>
            </w:r>
            <w:r>
              <w:rPr>
                <w:rFonts w:hint="eastAsia" w:ascii="仿宋" w:hAnsi="仿宋" w:eastAsia="仿宋" w:cs="仿宋"/>
                <w:sz w:val="28"/>
                <w:szCs w:val="28"/>
              </w:rPr>
              <w:t>供应商需提供对应证明材料复印件并加盖公章，未提供的不得分，各项得分累计不超过</w:t>
            </w:r>
            <w:r>
              <w:rPr>
                <w:rFonts w:hint="eastAsia" w:ascii="仿宋" w:hAnsi="仿宋" w:eastAsia="仿宋" w:cs="仿宋"/>
                <w:sz w:val="28"/>
                <w:szCs w:val="28"/>
                <w:lang w:val="en-US" w:eastAsia="zh-CN"/>
              </w:rPr>
              <w:t>15</w:t>
            </w:r>
            <w:r>
              <w:rPr>
                <w:rFonts w:hint="eastAsia" w:ascii="仿宋" w:hAnsi="仿宋" w:eastAsia="仿宋" w:cs="仿宋"/>
                <w:sz w:val="28"/>
                <w:szCs w:val="28"/>
              </w:rPr>
              <w:t>分</w:t>
            </w:r>
            <w:r>
              <w:rPr>
                <w:rFonts w:hint="eastAsia" w:ascii="仿宋" w:hAnsi="仿宋" w:eastAsia="仿宋" w:cs="仿宋"/>
                <w:sz w:val="28"/>
                <w:szCs w:val="28"/>
                <w:lang w:eastAsia="zh-CN"/>
              </w:rPr>
              <w:t>。</w:t>
            </w:r>
          </w:p>
        </w:tc>
        <w:tc>
          <w:tcPr>
            <w:tcW w:w="964" w:type="dxa"/>
            <w:vAlign w:val="center"/>
          </w:tcPr>
          <w:p w14:paraId="0531DAF3">
            <w:pPr>
              <w:spacing w:line="520" w:lineRule="exact"/>
              <w:jc w:val="center"/>
              <w:rPr>
                <w:rFonts w:ascii="仿宋" w:hAnsi="仿宋" w:eastAsia="仿宋"/>
                <w:sz w:val="28"/>
                <w:szCs w:val="28"/>
              </w:rPr>
            </w:pPr>
          </w:p>
          <w:p w14:paraId="52A001B4">
            <w:pPr>
              <w:spacing w:line="520" w:lineRule="exact"/>
              <w:jc w:val="center"/>
              <w:rPr>
                <w:rFonts w:ascii="仿宋" w:hAnsi="仿宋" w:eastAsia="仿宋"/>
                <w:sz w:val="28"/>
                <w:szCs w:val="28"/>
              </w:rPr>
            </w:pPr>
          </w:p>
          <w:p w14:paraId="626D39A1">
            <w:pPr>
              <w:spacing w:line="520" w:lineRule="exact"/>
              <w:jc w:val="center"/>
              <w:rPr>
                <w:rFonts w:ascii="仿宋" w:hAnsi="仿宋" w:eastAsia="仿宋"/>
                <w:sz w:val="28"/>
                <w:szCs w:val="28"/>
              </w:rPr>
            </w:pPr>
          </w:p>
          <w:p w14:paraId="12251C22">
            <w:pPr>
              <w:spacing w:line="520" w:lineRule="exact"/>
              <w:jc w:val="center"/>
              <w:rPr>
                <w:rFonts w:ascii="仿宋" w:hAnsi="仿宋" w:eastAsia="仿宋"/>
                <w:sz w:val="28"/>
                <w:szCs w:val="28"/>
              </w:rPr>
            </w:pPr>
          </w:p>
          <w:p w14:paraId="1E44B5C7">
            <w:pPr>
              <w:spacing w:line="520" w:lineRule="exact"/>
              <w:jc w:val="center"/>
              <w:rPr>
                <w:rFonts w:ascii="仿宋" w:hAnsi="仿宋" w:eastAsia="仿宋"/>
                <w:sz w:val="28"/>
                <w:szCs w:val="28"/>
              </w:rPr>
            </w:pPr>
          </w:p>
          <w:p w14:paraId="43CE1DC0">
            <w:pPr>
              <w:spacing w:line="520" w:lineRule="exact"/>
              <w:jc w:val="center"/>
              <w:rPr>
                <w:rFonts w:ascii="仿宋" w:hAnsi="仿宋" w:eastAsia="仿宋"/>
                <w:sz w:val="28"/>
                <w:szCs w:val="28"/>
              </w:rPr>
            </w:pPr>
            <w:r>
              <w:rPr>
                <w:rFonts w:ascii="仿宋" w:hAnsi="仿宋" w:eastAsia="仿宋"/>
                <w:sz w:val="28"/>
                <w:szCs w:val="28"/>
              </w:rPr>
              <w:t>15</w:t>
            </w:r>
          </w:p>
        </w:tc>
      </w:tr>
      <w:tr w14:paraId="346B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bottom w:val="double" w:color="auto" w:sz="4" w:space="0"/>
            </w:tcBorders>
            <w:vAlign w:val="center"/>
          </w:tcPr>
          <w:p w14:paraId="11B92D5A">
            <w:pPr>
              <w:spacing w:line="520" w:lineRule="exact"/>
              <w:jc w:val="center"/>
              <w:rPr>
                <w:rFonts w:ascii="仿宋_GB2312" w:hAnsi="仿宋" w:eastAsia="仿宋_GB2312"/>
                <w:sz w:val="28"/>
                <w:szCs w:val="28"/>
              </w:rPr>
            </w:pPr>
            <w:r>
              <w:rPr>
                <w:rFonts w:hint="eastAsia" w:ascii="仿宋_GB2312" w:hAnsi="仿宋" w:eastAsia="仿宋_GB2312"/>
                <w:sz w:val="28"/>
                <w:szCs w:val="28"/>
                <w:lang w:val="en-US" w:eastAsia="zh-CN"/>
              </w:rPr>
              <w:t>4</w:t>
            </w:r>
            <w:r>
              <w:rPr>
                <w:rFonts w:hint="eastAsia" w:ascii="仿宋_GB2312" w:hAnsi="仿宋" w:eastAsia="仿宋_GB2312"/>
                <w:sz w:val="28"/>
                <w:szCs w:val="28"/>
              </w:rPr>
              <w:t>.2</w:t>
            </w:r>
          </w:p>
        </w:tc>
        <w:tc>
          <w:tcPr>
            <w:tcW w:w="1353" w:type="dxa"/>
            <w:tcBorders>
              <w:bottom w:val="double" w:color="auto" w:sz="4" w:space="0"/>
            </w:tcBorders>
            <w:vAlign w:val="center"/>
          </w:tcPr>
          <w:p w14:paraId="4ED4B544">
            <w:pPr>
              <w:spacing w:line="520" w:lineRule="exact"/>
              <w:jc w:val="center"/>
              <w:rPr>
                <w:rFonts w:ascii="仿宋_GB2312" w:hAnsi="仿宋" w:eastAsia="仿宋_GB2312"/>
                <w:sz w:val="28"/>
                <w:szCs w:val="28"/>
              </w:rPr>
            </w:pPr>
            <w:r>
              <w:rPr>
                <w:rFonts w:hint="eastAsia" w:ascii="仿宋_GB2312" w:hAnsi="仿宋" w:eastAsia="仿宋_GB2312"/>
                <w:sz w:val="28"/>
                <w:szCs w:val="28"/>
              </w:rPr>
              <w:t>信誉分</w:t>
            </w:r>
          </w:p>
        </w:tc>
        <w:tc>
          <w:tcPr>
            <w:tcW w:w="5711" w:type="dxa"/>
            <w:tcBorders>
              <w:bottom w:val="double" w:color="auto" w:sz="4" w:space="0"/>
            </w:tcBorders>
          </w:tcPr>
          <w:p w14:paraId="2D5DED88">
            <w:pPr>
              <w:keepNext w:val="0"/>
              <w:keepLines w:val="0"/>
              <w:pageBreakBefore w:val="0"/>
              <w:widowControl w:val="0"/>
              <w:numPr>
                <w:ilvl w:val="0"/>
                <w:numId w:val="0"/>
              </w:numPr>
              <w:kinsoku/>
              <w:wordWrap/>
              <w:overflowPunct/>
              <w:topLinePunct w:val="0"/>
              <w:autoSpaceDE/>
              <w:autoSpaceDN/>
              <w:bidi w:val="0"/>
              <w:adjustRightInd/>
              <w:snapToGrid/>
              <w:spacing w:before="120" w:after="120" w:line="32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1.每获得一次省部级科技类奖项，得7分；</w:t>
            </w:r>
          </w:p>
          <w:p w14:paraId="2645A561">
            <w:pPr>
              <w:keepNext w:val="0"/>
              <w:keepLines w:val="0"/>
              <w:pageBreakBefore w:val="0"/>
              <w:widowControl w:val="0"/>
              <w:numPr>
                <w:ilvl w:val="0"/>
                <w:numId w:val="0"/>
              </w:numPr>
              <w:kinsoku/>
              <w:wordWrap/>
              <w:overflowPunct/>
              <w:topLinePunct w:val="0"/>
              <w:autoSpaceDE/>
              <w:autoSpaceDN/>
              <w:bidi w:val="0"/>
              <w:adjustRightInd/>
              <w:snapToGrid/>
              <w:spacing w:before="120" w:after="120" w:line="32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2.每获得一次市厅（及以上）级科技类奖项，得3分。</w:t>
            </w:r>
          </w:p>
          <w:p w14:paraId="2C1A30F7">
            <w:pPr>
              <w:keepNext w:val="0"/>
              <w:keepLines w:val="0"/>
              <w:pageBreakBefore w:val="0"/>
              <w:widowControl w:val="0"/>
              <w:numPr>
                <w:ilvl w:val="0"/>
                <w:numId w:val="0"/>
              </w:numPr>
              <w:kinsoku/>
              <w:wordWrap/>
              <w:overflowPunct/>
              <w:topLinePunct w:val="0"/>
              <w:autoSpaceDE/>
              <w:autoSpaceDN/>
              <w:bidi w:val="0"/>
              <w:adjustRightInd/>
              <w:snapToGrid/>
              <w:spacing w:before="120" w:after="120" w:line="320" w:lineRule="exact"/>
              <w:jc w:val="left"/>
              <w:textAlignment w:val="auto"/>
              <w:rPr>
                <w:rFonts w:ascii="仿宋_GB2312" w:hAnsi="仿宋" w:eastAsia="仿宋_GB2312"/>
                <w:sz w:val="28"/>
                <w:szCs w:val="28"/>
              </w:rPr>
            </w:pPr>
            <w:r>
              <w:rPr>
                <w:rFonts w:hint="eastAsia" w:ascii="仿宋" w:hAnsi="仿宋" w:eastAsia="仿宋" w:cs="仿宋"/>
                <w:sz w:val="28"/>
                <w:szCs w:val="28"/>
                <w:lang w:val="en-US" w:eastAsia="zh-CN"/>
              </w:rPr>
              <w:t>该项以项目计，同一项目以最高得分计1次，不重复计分。供应商需提供获奖相关佐证材料复印件并加盖公章，</w:t>
            </w:r>
            <w:r>
              <w:rPr>
                <w:rFonts w:hint="eastAsia" w:ascii="仿宋" w:hAnsi="仿宋" w:eastAsia="仿宋" w:cs="仿宋"/>
                <w:sz w:val="28"/>
                <w:szCs w:val="28"/>
              </w:rPr>
              <w:t>未提供的不得分，各项得分累计不超过</w:t>
            </w:r>
            <w:r>
              <w:rPr>
                <w:rFonts w:hint="eastAsia" w:ascii="仿宋" w:hAnsi="仿宋" w:eastAsia="仿宋" w:cs="仿宋"/>
                <w:sz w:val="28"/>
                <w:szCs w:val="28"/>
                <w:lang w:val="en-US" w:eastAsia="zh-CN"/>
              </w:rPr>
              <w:t>15</w:t>
            </w:r>
            <w:r>
              <w:rPr>
                <w:rFonts w:hint="eastAsia" w:ascii="仿宋" w:hAnsi="仿宋" w:eastAsia="仿宋" w:cs="仿宋"/>
                <w:sz w:val="28"/>
                <w:szCs w:val="28"/>
              </w:rPr>
              <w:t>分</w:t>
            </w:r>
            <w:r>
              <w:rPr>
                <w:rFonts w:hint="eastAsia" w:ascii="仿宋" w:hAnsi="仿宋" w:eastAsia="仿宋" w:cs="仿宋"/>
                <w:sz w:val="28"/>
                <w:szCs w:val="28"/>
                <w:lang w:eastAsia="zh-CN"/>
              </w:rPr>
              <w:t>。</w:t>
            </w:r>
          </w:p>
        </w:tc>
        <w:tc>
          <w:tcPr>
            <w:tcW w:w="964" w:type="dxa"/>
            <w:tcBorders>
              <w:bottom w:val="double" w:color="auto" w:sz="4" w:space="0"/>
            </w:tcBorders>
            <w:vAlign w:val="center"/>
          </w:tcPr>
          <w:p w14:paraId="4B5D8B06">
            <w:pPr>
              <w:spacing w:line="520" w:lineRule="exact"/>
              <w:jc w:val="center"/>
              <w:rPr>
                <w:rFonts w:hint="eastAsia" w:ascii="仿宋" w:hAnsi="仿宋" w:eastAsia="仿宋"/>
                <w:sz w:val="28"/>
                <w:szCs w:val="28"/>
                <w:lang w:eastAsia="zh-CN"/>
              </w:rPr>
            </w:pPr>
            <w:r>
              <w:rPr>
                <w:rFonts w:hint="eastAsia" w:ascii="仿宋" w:hAnsi="仿宋" w:eastAsia="仿宋"/>
                <w:sz w:val="28"/>
                <w:szCs w:val="28"/>
              </w:rPr>
              <w:t>1</w:t>
            </w:r>
            <w:r>
              <w:rPr>
                <w:rFonts w:hint="eastAsia" w:ascii="仿宋" w:hAnsi="仿宋" w:eastAsia="仿宋"/>
                <w:sz w:val="28"/>
                <w:szCs w:val="28"/>
                <w:lang w:val="en-US" w:eastAsia="zh-CN"/>
              </w:rPr>
              <w:t>0</w:t>
            </w:r>
          </w:p>
        </w:tc>
      </w:tr>
      <w:tr w14:paraId="6613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tcBorders>
              <w:bottom w:val="double" w:color="auto" w:sz="4" w:space="0"/>
            </w:tcBorders>
            <w:shd w:val="clear" w:color="auto" w:fill="auto"/>
            <w:vAlign w:val="center"/>
          </w:tcPr>
          <w:p w14:paraId="11AB70E6">
            <w:pPr>
              <w:pStyle w:val="9"/>
              <w:spacing w:line="560" w:lineRule="exact"/>
              <w:ind w:firstLine="0" w:firstLineChars="0"/>
              <w:jc w:val="center"/>
              <w:rPr>
                <w:rFonts w:hint="default" w:ascii="仿宋" w:hAnsi="仿宋" w:eastAsia="仿宋" w:cs="仿宋"/>
                <w:kern w:val="2"/>
                <w:sz w:val="28"/>
                <w:szCs w:val="28"/>
                <w:lang w:val="en-US" w:eastAsia="zh-CN" w:bidi="ar-SA"/>
              </w:rPr>
            </w:pPr>
            <w:r>
              <w:rPr>
                <w:rFonts w:hint="eastAsia" w:ascii="仿宋_GB2312" w:hAnsi="仿宋" w:eastAsia="仿宋_GB2312" w:cstheme="minorBidi"/>
                <w:kern w:val="2"/>
                <w:sz w:val="28"/>
                <w:szCs w:val="28"/>
                <w:lang w:val="en-US" w:eastAsia="zh-CN" w:bidi="ar-SA"/>
              </w:rPr>
              <w:t>4.3</w:t>
            </w:r>
          </w:p>
        </w:tc>
        <w:tc>
          <w:tcPr>
            <w:tcW w:w="1353" w:type="dxa"/>
            <w:tcBorders>
              <w:bottom w:val="double" w:color="auto" w:sz="4" w:space="0"/>
            </w:tcBorders>
            <w:shd w:val="clear" w:color="auto" w:fill="auto"/>
            <w:vAlign w:val="center"/>
          </w:tcPr>
          <w:p w14:paraId="06B090EC">
            <w:pPr>
              <w:spacing w:line="520" w:lineRule="exact"/>
              <w:jc w:val="center"/>
              <w:rPr>
                <w:rFonts w:hint="eastAsia" w:ascii="仿宋" w:hAnsi="仿宋" w:eastAsia="仿宋" w:cs="仿宋"/>
                <w:kern w:val="2"/>
                <w:sz w:val="28"/>
                <w:szCs w:val="28"/>
                <w:lang w:val="en-US" w:eastAsia="zh-CN" w:bidi="ar-SA"/>
              </w:rPr>
            </w:pPr>
            <w:r>
              <w:rPr>
                <w:rFonts w:hint="eastAsia" w:ascii="仿宋_GB2312" w:hAnsi="仿宋" w:eastAsia="仿宋_GB2312"/>
                <w:sz w:val="28"/>
                <w:szCs w:val="28"/>
              </w:rPr>
              <w:t>售后服务</w:t>
            </w:r>
            <w:r>
              <w:rPr>
                <w:rFonts w:hint="eastAsia" w:ascii="仿宋_GB2312" w:hAnsi="仿宋" w:eastAsia="仿宋_GB2312"/>
                <w:sz w:val="28"/>
                <w:szCs w:val="28"/>
                <w:lang w:eastAsia="zh-CN"/>
              </w:rPr>
              <w:t>分</w:t>
            </w:r>
          </w:p>
        </w:tc>
        <w:tc>
          <w:tcPr>
            <w:tcW w:w="5711" w:type="dxa"/>
            <w:tcBorders>
              <w:bottom w:val="double" w:color="auto" w:sz="4" w:space="0"/>
            </w:tcBorders>
            <w:shd w:val="clear" w:color="auto" w:fill="auto"/>
            <w:vAlign w:val="center"/>
          </w:tcPr>
          <w:p w14:paraId="3387060F">
            <w:pPr>
              <w:keepNext w:val="0"/>
              <w:keepLines w:val="0"/>
              <w:pageBreakBefore w:val="0"/>
              <w:widowControl w:val="0"/>
              <w:numPr>
                <w:ilvl w:val="0"/>
                <w:numId w:val="0"/>
              </w:numPr>
              <w:kinsoku/>
              <w:wordWrap/>
              <w:overflowPunct/>
              <w:topLinePunct w:val="0"/>
              <w:autoSpaceDE/>
              <w:autoSpaceDN/>
              <w:bidi w:val="0"/>
              <w:adjustRightInd/>
              <w:snapToGrid/>
              <w:spacing w:before="120" w:after="120" w:line="32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1.售后服务承诺全面周到、内容详细完善，服务流程、环节、职责清晰明确，能够为采购人提供优质的售后服务的，具有措施的得7-10分；</w:t>
            </w:r>
          </w:p>
          <w:p w14:paraId="1974255A">
            <w:pPr>
              <w:keepNext w:val="0"/>
              <w:keepLines w:val="0"/>
              <w:pageBreakBefore w:val="0"/>
              <w:widowControl w:val="0"/>
              <w:numPr>
                <w:ilvl w:val="0"/>
                <w:numId w:val="0"/>
              </w:numPr>
              <w:kinsoku/>
              <w:wordWrap/>
              <w:overflowPunct/>
              <w:topLinePunct w:val="0"/>
              <w:autoSpaceDE/>
              <w:autoSpaceDN/>
              <w:bidi w:val="0"/>
              <w:adjustRightInd/>
              <w:snapToGrid/>
              <w:spacing w:before="120" w:after="120" w:line="32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2.售后服务承诺较为全面，内容完整，能满足售后服务要求得3-6分；</w:t>
            </w:r>
          </w:p>
          <w:p w14:paraId="7A582382">
            <w:pPr>
              <w:keepNext w:val="0"/>
              <w:keepLines w:val="0"/>
              <w:pageBreakBefore w:val="0"/>
              <w:widowControl w:val="0"/>
              <w:numPr>
                <w:ilvl w:val="0"/>
                <w:numId w:val="0"/>
              </w:numPr>
              <w:kinsoku/>
              <w:wordWrap/>
              <w:overflowPunct/>
              <w:topLinePunct w:val="0"/>
              <w:autoSpaceDE/>
              <w:autoSpaceDN/>
              <w:bidi w:val="0"/>
              <w:adjustRightInd/>
              <w:snapToGrid/>
              <w:spacing w:before="120" w:after="120" w:line="32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3.售后服务承诺一般，可行性不高，基本满足，得0-3分；</w:t>
            </w:r>
          </w:p>
          <w:p w14:paraId="515943F6">
            <w:pPr>
              <w:keepNext w:val="0"/>
              <w:keepLines w:val="0"/>
              <w:pageBreakBefore w:val="0"/>
              <w:widowControl w:val="0"/>
              <w:numPr>
                <w:ilvl w:val="0"/>
                <w:numId w:val="0"/>
              </w:numPr>
              <w:kinsoku/>
              <w:wordWrap/>
              <w:overflowPunct/>
              <w:topLinePunct w:val="0"/>
              <w:autoSpaceDE/>
              <w:autoSpaceDN/>
              <w:bidi w:val="0"/>
              <w:adjustRightInd/>
              <w:snapToGrid/>
              <w:spacing w:before="120" w:after="120" w:line="32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4.不提供不得分。</w:t>
            </w:r>
          </w:p>
        </w:tc>
        <w:tc>
          <w:tcPr>
            <w:tcW w:w="964" w:type="dxa"/>
            <w:tcBorders>
              <w:bottom w:val="double" w:color="auto" w:sz="4" w:space="0"/>
            </w:tcBorders>
            <w:shd w:val="clear" w:color="auto" w:fill="auto"/>
            <w:vAlign w:val="center"/>
          </w:tcPr>
          <w:p w14:paraId="3982EB08">
            <w:pPr>
              <w:widowControl w:val="0"/>
              <w:adjustRightInd w:val="0"/>
              <w:spacing w:line="0" w:lineRule="atLeast"/>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10</w:t>
            </w:r>
          </w:p>
        </w:tc>
      </w:tr>
      <w:tr w14:paraId="5EE4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gridSpan w:val="4"/>
            <w:tcBorders>
              <w:top w:val="double" w:color="auto" w:sz="4" w:space="0"/>
            </w:tcBorders>
            <w:vAlign w:val="center"/>
          </w:tcPr>
          <w:p w14:paraId="6637E421">
            <w:pPr>
              <w:keepNext w:val="0"/>
              <w:keepLines w:val="0"/>
              <w:pageBreakBefore w:val="0"/>
              <w:widowControl w:val="0"/>
              <w:numPr>
                <w:ilvl w:val="0"/>
                <w:numId w:val="0"/>
              </w:numPr>
              <w:kinsoku/>
              <w:wordWrap/>
              <w:overflowPunct/>
              <w:topLinePunct w:val="0"/>
              <w:autoSpaceDE/>
              <w:autoSpaceDN/>
              <w:bidi w:val="0"/>
              <w:adjustRightInd/>
              <w:snapToGrid/>
              <w:spacing w:before="120" w:after="120" w:line="320" w:lineRule="exact"/>
              <w:jc w:val="left"/>
              <w:textAlignment w:val="auto"/>
              <w:rPr>
                <w:rFonts w:ascii="仿宋_GB2312" w:hAnsi="黑体" w:eastAsia="仿宋_GB2312"/>
                <w:sz w:val="28"/>
                <w:szCs w:val="28"/>
              </w:rPr>
            </w:pPr>
            <w:r>
              <w:rPr>
                <w:rFonts w:hint="eastAsia" w:ascii="仿宋" w:hAnsi="仿宋" w:eastAsia="仿宋" w:cs="仿宋"/>
                <w:sz w:val="28"/>
                <w:szCs w:val="28"/>
                <w:lang w:val="en-US" w:eastAsia="zh-CN"/>
              </w:rPr>
              <w:t>说明：综合得分=序号1+序号2+序号3+序号4，满分100分。推荐综合得分最高者为成交供应商；综合得分相同的，推荐技术方案分较高者为成交供应商；综合得分、技术方案分均相同的，推荐价格分较高者为成交供应商。</w:t>
            </w:r>
          </w:p>
        </w:tc>
      </w:tr>
    </w:tbl>
    <w:p w14:paraId="56D1A192">
      <w:pPr>
        <w:pStyle w:val="2"/>
        <w:numPr>
          <w:ilvl w:val="-1"/>
          <w:numId w:val="0"/>
        </w:numPr>
        <w:ind w:firstLine="0" w:firstLineChars="0"/>
        <w:rPr>
          <w:rFonts w:hint="eastAsia"/>
        </w:rPr>
      </w:pPr>
    </w:p>
    <w:p w14:paraId="2E38A14A">
      <w:pPr>
        <w:spacing w:before="320" w:after="120" w:line="288" w:lineRule="auto"/>
        <w:ind w:left="0" w:firstLine="562" w:firstLineChars="200"/>
        <w:jc w:val="left"/>
        <w:outlineLvl w:val="1"/>
        <w:rPr>
          <w:rFonts w:hint="eastAsia" w:ascii="仿宋" w:hAnsi="仿宋" w:eastAsia="仿宋" w:cs="仿宋"/>
          <w:sz w:val="28"/>
          <w:szCs w:val="28"/>
        </w:rPr>
      </w:pPr>
      <w:bookmarkStart w:id="18" w:name="heading_24"/>
      <w:r>
        <w:rPr>
          <w:rFonts w:hint="eastAsia" w:ascii="仿宋" w:hAnsi="仿宋" w:eastAsia="仿宋" w:cs="仿宋"/>
          <w:b/>
          <w:sz w:val="28"/>
          <w:szCs w:val="28"/>
        </w:rPr>
        <w:t>四、中标候选人推荐原则</w:t>
      </w:r>
      <w:bookmarkEnd w:id="18"/>
    </w:p>
    <w:p w14:paraId="3370CA71">
      <w:pPr>
        <w:numPr>
          <w:ilvl w:val="0"/>
          <w:numId w:val="5"/>
        </w:numPr>
        <w:spacing w:before="120" w:after="120" w:line="288" w:lineRule="auto"/>
        <w:ind w:left="0" w:leftChars="0" w:firstLine="400" w:firstLineChars="0"/>
        <w:jc w:val="left"/>
        <w:rPr>
          <w:rFonts w:hint="eastAsia" w:ascii="仿宋" w:hAnsi="仿宋" w:eastAsia="仿宋" w:cs="仿宋"/>
          <w:color w:val="auto"/>
          <w:sz w:val="28"/>
          <w:szCs w:val="28"/>
        </w:rPr>
      </w:pPr>
      <w:r>
        <w:rPr>
          <w:rFonts w:hint="eastAsia" w:ascii="仿宋" w:hAnsi="仿宋" w:eastAsia="仿宋" w:cs="仿宋"/>
          <w:color w:val="auto"/>
          <w:sz w:val="28"/>
          <w:szCs w:val="28"/>
        </w:rPr>
        <w:t>评标小组将根据供应商</w:t>
      </w:r>
      <w:r>
        <w:rPr>
          <w:rFonts w:hint="eastAsia" w:ascii="仿宋" w:hAnsi="仿宋" w:eastAsia="仿宋" w:cs="仿宋"/>
          <w:b/>
          <w:color w:val="auto"/>
          <w:sz w:val="28"/>
          <w:szCs w:val="28"/>
        </w:rPr>
        <w:t>总得分由高到低</w:t>
      </w:r>
      <w:r>
        <w:rPr>
          <w:rFonts w:hint="eastAsia" w:ascii="仿宋" w:hAnsi="仿宋" w:eastAsia="仿宋" w:cs="仿宋"/>
          <w:color w:val="auto"/>
          <w:sz w:val="28"/>
          <w:szCs w:val="28"/>
        </w:rPr>
        <w:t>排列次序，并推荐中标候选供应商；</w:t>
      </w:r>
    </w:p>
    <w:p w14:paraId="2500E6D3">
      <w:pPr>
        <w:numPr>
          <w:ilvl w:val="0"/>
          <w:numId w:val="5"/>
        </w:numPr>
        <w:spacing w:before="120" w:after="120" w:line="288" w:lineRule="auto"/>
        <w:ind w:left="0" w:leftChars="0" w:firstLine="400" w:firstLineChars="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eastAsia="zh-CN"/>
        </w:rPr>
        <w:t>综合</w:t>
      </w:r>
      <w:r>
        <w:rPr>
          <w:rFonts w:hint="eastAsia" w:ascii="仿宋" w:hAnsi="仿宋" w:eastAsia="仿宋" w:cs="仿宋"/>
          <w:color w:val="auto"/>
          <w:sz w:val="28"/>
          <w:szCs w:val="28"/>
          <w:highlight w:val="none"/>
        </w:rPr>
        <w:t>得分相同时，</w:t>
      </w:r>
      <w:r>
        <w:rPr>
          <w:rFonts w:hint="eastAsia" w:ascii="仿宋" w:hAnsi="仿宋" w:eastAsia="仿宋" w:cs="仿宋"/>
          <w:sz w:val="28"/>
          <w:szCs w:val="28"/>
          <w:highlight w:val="none"/>
          <w:lang w:val="en-US" w:eastAsia="zh-CN"/>
        </w:rPr>
        <w:t>按</w:t>
      </w:r>
      <w:r>
        <w:rPr>
          <w:rFonts w:hint="eastAsia" w:ascii="仿宋" w:hAnsi="仿宋" w:eastAsia="仿宋" w:cs="仿宋"/>
          <w:b/>
          <w:bCs/>
          <w:sz w:val="28"/>
          <w:szCs w:val="28"/>
          <w:highlight w:val="none"/>
          <w:lang w:val="en-US" w:eastAsia="zh-CN"/>
        </w:rPr>
        <w:t>技术方案分高低</w:t>
      </w:r>
      <w:r>
        <w:rPr>
          <w:rFonts w:hint="eastAsia" w:ascii="仿宋" w:hAnsi="仿宋" w:eastAsia="仿宋" w:cs="仿宋"/>
          <w:b/>
          <w:bCs/>
          <w:color w:val="auto"/>
          <w:sz w:val="28"/>
          <w:szCs w:val="28"/>
          <w:highlight w:val="none"/>
        </w:rPr>
        <w:t>顺序</w:t>
      </w:r>
      <w:r>
        <w:rPr>
          <w:rFonts w:hint="eastAsia" w:ascii="仿宋" w:hAnsi="仿宋" w:eastAsia="仿宋" w:cs="仿宋"/>
          <w:color w:val="auto"/>
          <w:sz w:val="28"/>
          <w:szCs w:val="28"/>
          <w:highlight w:val="none"/>
        </w:rPr>
        <w:t>排列；</w:t>
      </w:r>
      <w:r>
        <w:rPr>
          <w:rFonts w:hint="eastAsia" w:ascii="仿宋" w:hAnsi="仿宋" w:eastAsia="仿宋" w:cs="仿宋"/>
          <w:sz w:val="28"/>
          <w:szCs w:val="28"/>
          <w:lang w:val="en-US" w:eastAsia="zh-CN"/>
        </w:rPr>
        <w:t>综合得分、技术方案分均相同的，按</w:t>
      </w:r>
      <w:r>
        <w:rPr>
          <w:rFonts w:hint="eastAsia" w:ascii="仿宋" w:hAnsi="仿宋" w:eastAsia="仿宋" w:cs="仿宋"/>
          <w:b/>
          <w:bCs/>
          <w:sz w:val="28"/>
          <w:szCs w:val="28"/>
          <w:lang w:val="en-US" w:eastAsia="zh-CN"/>
        </w:rPr>
        <w:t>价格分高低顺序</w:t>
      </w:r>
      <w:r>
        <w:rPr>
          <w:rFonts w:hint="eastAsia" w:ascii="仿宋" w:hAnsi="仿宋" w:eastAsia="仿宋" w:cs="仿宋"/>
          <w:sz w:val="28"/>
          <w:szCs w:val="28"/>
          <w:lang w:val="en-US" w:eastAsia="zh-CN"/>
        </w:rPr>
        <w:t>排列。</w:t>
      </w:r>
    </w:p>
    <w:p w14:paraId="5FE51B45">
      <w:pPr>
        <w:numPr>
          <w:ilvl w:val="0"/>
          <w:numId w:val="5"/>
        </w:numPr>
        <w:spacing w:before="120" w:after="120" w:line="288" w:lineRule="auto"/>
        <w:ind w:left="0" w:leftChars="0" w:firstLine="400" w:firstLineChars="0"/>
        <w:jc w:val="left"/>
        <w:rPr>
          <w:rFonts w:hint="eastAsia" w:ascii="仿宋" w:hAnsi="仿宋" w:eastAsia="仿宋" w:cs="仿宋"/>
          <w:color w:val="auto"/>
          <w:sz w:val="28"/>
          <w:szCs w:val="28"/>
        </w:rPr>
      </w:pPr>
      <w:r>
        <w:rPr>
          <w:rFonts w:hint="eastAsia" w:ascii="仿宋" w:hAnsi="仿宋" w:eastAsia="仿宋" w:cs="仿宋"/>
          <w:color w:val="auto"/>
          <w:sz w:val="28"/>
          <w:szCs w:val="28"/>
        </w:rPr>
        <w:t>采购单位应当确定评标小组推荐排名第一的中标候选人为中标人；</w:t>
      </w:r>
    </w:p>
    <w:p w14:paraId="641195C2">
      <w:pPr>
        <w:numPr>
          <w:ilvl w:val="0"/>
          <w:numId w:val="5"/>
        </w:numPr>
        <w:spacing w:before="120" w:after="120" w:line="288" w:lineRule="auto"/>
        <w:ind w:left="0" w:leftChars="0" w:firstLine="400" w:firstLineChars="0"/>
        <w:jc w:val="left"/>
        <w:rPr>
          <w:rFonts w:hint="eastAsia" w:ascii="仿宋" w:hAnsi="仿宋" w:eastAsia="仿宋" w:cs="仿宋"/>
          <w:color w:val="auto"/>
          <w:sz w:val="28"/>
          <w:szCs w:val="28"/>
        </w:rPr>
      </w:pPr>
      <w:r>
        <w:rPr>
          <w:rFonts w:hint="eastAsia" w:ascii="仿宋" w:hAnsi="仿宋" w:eastAsia="仿宋" w:cs="仿宋"/>
          <w:color w:val="auto"/>
          <w:sz w:val="28"/>
          <w:szCs w:val="28"/>
        </w:rPr>
        <w:t>排名第一的中标候选人放弃中标、因不可抗力提出不能履行合同，或者招标文件规定应当提交履约保证金而在规定的期限内未能足额提交的，采购单位可以确定排名第二的中标候选人为中标人；</w:t>
      </w:r>
    </w:p>
    <w:p w14:paraId="665BAEC3">
      <w:pPr>
        <w:numPr>
          <w:ilvl w:val="0"/>
          <w:numId w:val="5"/>
        </w:numPr>
        <w:spacing w:before="120" w:after="120" w:line="288" w:lineRule="auto"/>
        <w:ind w:left="0" w:leftChars="0" w:firstLine="400" w:firstLineChars="0"/>
        <w:jc w:val="left"/>
        <w:rPr>
          <w:rFonts w:hint="eastAsia" w:ascii="仿宋" w:hAnsi="仿宋" w:eastAsia="仿宋" w:cs="仿宋"/>
          <w:color w:val="auto"/>
          <w:sz w:val="28"/>
          <w:szCs w:val="28"/>
        </w:rPr>
      </w:pPr>
      <w:r>
        <w:rPr>
          <w:rFonts w:hint="eastAsia" w:ascii="仿宋" w:hAnsi="仿宋" w:eastAsia="仿宋" w:cs="仿宋"/>
          <w:color w:val="auto"/>
          <w:sz w:val="28"/>
          <w:szCs w:val="28"/>
        </w:rPr>
        <w:t>排名第二的中标候选人因前款规定的同样原因不能签订合同的，采购单位可以确定排名第三的中标候选人为中标人，以此类推；</w:t>
      </w:r>
    </w:p>
    <w:p w14:paraId="24A5992A">
      <w:pPr>
        <w:numPr>
          <w:ilvl w:val="0"/>
          <w:numId w:val="5"/>
        </w:numPr>
        <w:spacing w:before="120" w:after="120" w:line="288" w:lineRule="auto"/>
        <w:ind w:left="0" w:leftChars="0" w:firstLine="400" w:firstLineChars="0"/>
        <w:jc w:val="left"/>
        <w:rPr>
          <w:rFonts w:hint="eastAsia" w:ascii="仿宋" w:hAnsi="仿宋" w:eastAsia="仿宋" w:cs="仿宋"/>
          <w:color w:val="auto"/>
          <w:sz w:val="28"/>
          <w:szCs w:val="28"/>
        </w:rPr>
      </w:pPr>
      <w:r>
        <w:rPr>
          <w:rFonts w:hint="eastAsia" w:ascii="仿宋" w:hAnsi="仿宋" w:eastAsia="仿宋" w:cs="仿宋"/>
          <w:color w:val="auto"/>
          <w:sz w:val="28"/>
          <w:szCs w:val="28"/>
        </w:rPr>
        <w:t>评审委员会认为供应商报价明显低于其他通过符合性审查供应商的报价，且可能影响服务质量或无法诚信履约的，有权要求其在合理时间内提供书面说明及相关证明材料；供应商无法证明报价合理性的，视为</w:t>
      </w:r>
      <w:r>
        <w:rPr>
          <w:rFonts w:hint="eastAsia" w:ascii="仿宋" w:hAnsi="仿宋" w:eastAsia="仿宋" w:cs="仿宋"/>
          <w:b/>
          <w:color w:val="auto"/>
          <w:sz w:val="28"/>
          <w:szCs w:val="28"/>
        </w:rPr>
        <w:t>无效报价</w:t>
      </w:r>
      <w:r>
        <w:rPr>
          <w:rFonts w:hint="eastAsia" w:ascii="仿宋" w:hAnsi="仿宋" w:eastAsia="仿宋" w:cs="仿宋"/>
          <w:color w:val="auto"/>
          <w:sz w:val="28"/>
          <w:szCs w:val="28"/>
        </w:rPr>
        <w:t>；</w:t>
      </w:r>
    </w:p>
    <w:p w14:paraId="5F658321">
      <w:pPr>
        <w:spacing w:before="380" w:after="140" w:line="288" w:lineRule="auto"/>
        <w:ind w:left="0" w:firstLine="560" w:firstLineChars="200"/>
        <w:jc w:val="left"/>
        <w:outlineLvl w:val="0"/>
        <w:rPr>
          <w:rFonts w:hint="eastAsia" w:ascii="仿宋" w:hAnsi="仿宋" w:eastAsia="仿宋" w:cs="仿宋"/>
          <w:color w:val="auto"/>
          <w:sz w:val="28"/>
          <w:szCs w:val="28"/>
        </w:rPr>
      </w:pPr>
      <w:r>
        <w:rPr>
          <w:rFonts w:hint="eastAsia" w:ascii="仿宋" w:hAnsi="仿宋" w:eastAsia="仿宋" w:cs="仿宋"/>
          <w:color w:val="auto"/>
          <w:sz w:val="28"/>
          <w:szCs w:val="28"/>
        </w:rPr>
        <w:t>有效报价定义：供应商报价未超过最高限价，且通过资格符合性审查、报价文件符合本询价文件全部要求。</w:t>
      </w:r>
      <w:bookmarkStart w:id="19" w:name="heading_25"/>
    </w:p>
    <w:p w14:paraId="595F4A6C">
      <w:pPr>
        <w:spacing w:before="380" w:after="140" w:line="288" w:lineRule="auto"/>
        <w:ind w:left="0"/>
        <w:jc w:val="left"/>
        <w:outlineLvl w:val="0"/>
        <w:rPr>
          <w:rFonts w:hint="eastAsia" w:ascii="仿宋" w:hAnsi="仿宋" w:eastAsia="仿宋" w:cs="仿宋"/>
          <w:b/>
          <w:sz w:val="28"/>
          <w:szCs w:val="28"/>
        </w:rPr>
      </w:pPr>
    </w:p>
    <w:p w14:paraId="2B085EF1">
      <w:pPr>
        <w:spacing w:before="380" w:after="140" w:line="288" w:lineRule="auto"/>
        <w:ind w:left="0"/>
        <w:jc w:val="left"/>
        <w:outlineLvl w:val="0"/>
        <w:rPr>
          <w:rFonts w:hint="eastAsia" w:ascii="仿宋" w:hAnsi="仿宋" w:eastAsia="仿宋" w:cs="仿宋"/>
          <w:b/>
          <w:sz w:val="28"/>
          <w:szCs w:val="28"/>
        </w:rPr>
      </w:pPr>
    </w:p>
    <w:p w14:paraId="14127781">
      <w:pPr>
        <w:spacing w:before="380" w:after="140" w:line="288" w:lineRule="auto"/>
        <w:ind w:left="0"/>
        <w:jc w:val="left"/>
        <w:outlineLvl w:val="0"/>
        <w:rPr>
          <w:rFonts w:hint="eastAsia" w:ascii="仿宋" w:hAnsi="仿宋" w:eastAsia="仿宋" w:cs="仿宋"/>
          <w:b/>
          <w:sz w:val="28"/>
          <w:szCs w:val="28"/>
        </w:rPr>
      </w:pPr>
    </w:p>
    <w:p w14:paraId="66B95D54">
      <w:pPr>
        <w:spacing w:before="380" w:after="140" w:line="288" w:lineRule="auto"/>
        <w:ind w:left="0"/>
        <w:jc w:val="left"/>
        <w:outlineLvl w:val="0"/>
        <w:rPr>
          <w:rFonts w:hint="eastAsia" w:ascii="仿宋" w:hAnsi="仿宋" w:eastAsia="仿宋" w:cs="仿宋"/>
          <w:b/>
          <w:sz w:val="28"/>
          <w:szCs w:val="28"/>
        </w:rPr>
      </w:pPr>
    </w:p>
    <w:p w14:paraId="08A3F5C2">
      <w:pPr>
        <w:spacing w:before="380" w:after="140" w:line="288" w:lineRule="auto"/>
        <w:ind w:left="0"/>
        <w:jc w:val="left"/>
        <w:outlineLvl w:val="0"/>
        <w:rPr>
          <w:rFonts w:hint="eastAsia" w:ascii="仿宋" w:hAnsi="仿宋" w:eastAsia="仿宋" w:cs="仿宋"/>
          <w:b/>
          <w:sz w:val="28"/>
          <w:szCs w:val="28"/>
        </w:rPr>
      </w:pPr>
    </w:p>
    <w:p w14:paraId="7B3D8CBB">
      <w:pPr>
        <w:spacing w:before="380" w:after="140" w:line="288" w:lineRule="auto"/>
        <w:ind w:left="0"/>
        <w:jc w:val="left"/>
        <w:outlineLvl w:val="0"/>
        <w:rPr>
          <w:rFonts w:hint="eastAsia" w:ascii="仿宋" w:hAnsi="仿宋" w:eastAsia="仿宋" w:cs="仿宋"/>
          <w:b/>
          <w:sz w:val="28"/>
          <w:szCs w:val="28"/>
        </w:rPr>
      </w:pPr>
    </w:p>
    <w:p w14:paraId="0A2A1F91">
      <w:pPr>
        <w:spacing w:before="380" w:after="140" w:line="288" w:lineRule="auto"/>
        <w:ind w:left="0"/>
        <w:jc w:val="left"/>
        <w:outlineLvl w:val="0"/>
        <w:rPr>
          <w:rFonts w:hint="eastAsia" w:ascii="仿宋" w:hAnsi="仿宋" w:eastAsia="仿宋" w:cs="仿宋"/>
          <w:b/>
          <w:sz w:val="28"/>
          <w:szCs w:val="28"/>
        </w:rPr>
      </w:pPr>
      <w:r>
        <w:rPr>
          <w:rFonts w:hint="eastAsia" w:ascii="仿宋" w:hAnsi="仿宋" w:eastAsia="仿宋" w:cs="仿宋"/>
          <w:b/>
          <w:sz w:val="28"/>
          <w:szCs w:val="28"/>
        </w:rPr>
        <w:t xml:space="preserve">附件2 </w:t>
      </w:r>
    </w:p>
    <w:p w14:paraId="5D971D1A">
      <w:pPr>
        <w:spacing w:before="380" w:after="140" w:line="288" w:lineRule="auto"/>
        <w:ind w:left="0"/>
        <w:jc w:val="center"/>
        <w:outlineLvl w:val="0"/>
        <w:rPr>
          <w:rFonts w:hint="eastAsia" w:ascii="仿宋" w:hAnsi="仿宋" w:eastAsia="仿宋" w:cs="仿宋"/>
          <w:sz w:val="32"/>
          <w:szCs w:val="32"/>
        </w:rPr>
      </w:pPr>
      <w:r>
        <w:rPr>
          <w:rFonts w:hint="eastAsia" w:ascii="仿宋" w:hAnsi="仿宋" w:eastAsia="仿宋" w:cs="仿宋"/>
          <w:b/>
          <w:sz w:val="32"/>
          <w:szCs w:val="32"/>
        </w:rPr>
        <w:t>执法</w:t>
      </w:r>
      <w:r>
        <w:rPr>
          <w:rFonts w:hint="eastAsia" w:ascii="仿宋" w:hAnsi="仿宋" w:eastAsia="仿宋" w:cs="仿宋"/>
          <w:b/>
          <w:sz w:val="32"/>
          <w:szCs w:val="32"/>
          <w:lang w:eastAsia="zh-CN"/>
        </w:rPr>
        <w:t>船舶</w:t>
      </w:r>
      <w:r>
        <w:rPr>
          <w:rFonts w:hint="eastAsia" w:ascii="仿宋" w:hAnsi="仿宋" w:eastAsia="仿宋" w:cs="仿宋"/>
          <w:b/>
          <w:sz w:val="32"/>
          <w:szCs w:val="32"/>
        </w:rPr>
        <w:t>配备</w:t>
      </w:r>
      <w:r>
        <w:rPr>
          <w:rFonts w:hint="eastAsia" w:ascii="仿宋" w:hAnsi="仿宋" w:eastAsia="仿宋" w:cs="仿宋"/>
          <w:b/>
          <w:sz w:val="32"/>
          <w:szCs w:val="32"/>
          <w:lang w:eastAsia="zh-CN"/>
        </w:rPr>
        <w:t>标准</w:t>
      </w:r>
      <w:r>
        <w:rPr>
          <w:rFonts w:hint="eastAsia" w:ascii="仿宋" w:hAnsi="仿宋" w:eastAsia="仿宋" w:cs="仿宋"/>
          <w:b/>
          <w:sz w:val="32"/>
          <w:szCs w:val="32"/>
        </w:rPr>
        <w:t>研究报价表</w:t>
      </w:r>
      <w:bookmarkEnd w:id="19"/>
    </w:p>
    <w:p w14:paraId="05361DC0">
      <w:pPr>
        <w:spacing w:before="120" w:after="120" w:line="288" w:lineRule="auto"/>
        <w:ind w:left="0"/>
        <w:jc w:val="left"/>
        <w:rPr>
          <w:rFonts w:hint="eastAsia" w:ascii="仿宋" w:hAnsi="仿宋" w:eastAsia="仿宋" w:cs="仿宋"/>
          <w:b/>
          <w:sz w:val="28"/>
          <w:szCs w:val="28"/>
        </w:rPr>
      </w:pPr>
    </w:p>
    <w:p w14:paraId="62802CBD">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b/>
          <w:sz w:val="28"/>
          <w:szCs w:val="28"/>
        </w:rPr>
        <w:t>供应商名称（加盖公章）</w:t>
      </w:r>
      <w:r>
        <w:rPr>
          <w:rFonts w:hint="eastAsia" w:ascii="仿宋" w:hAnsi="仿宋" w:eastAsia="仿宋" w:cs="仿宋"/>
          <w:sz w:val="28"/>
          <w:szCs w:val="28"/>
        </w:rPr>
        <w:t>：________________________</w:t>
      </w:r>
    </w:p>
    <w:p w14:paraId="7E29054B">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b/>
          <w:sz w:val="28"/>
          <w:szCs w:val="28"/>
        </w:rPr>
        <w:t>法定代表人/委托代理人（签字/盖章）</w:t>
      </w:r>
      <w:r>
        <w:rPr>
          <w:rFonts w:hint="eastAsia" w:ascii="仿宋" w:hAnsi="仿宋" w:eastAsia="仿宋" w:cs="仿宋"/>
          <w:sz w:val="28"/>
          <w:szCs w:val="28"/>
        </w:rPr>
        <w:t>：________________________</w:t>
      </w:r>
    </w:p>
    <w:p w14:paraId="795B35A2">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b/>
          <w:sz w:val="28"/>
          <w:szCs w:val="28"/>
        </w:rPr>
        <w:t>报价日期</w:t>
      </w:r>
      <w:r>
        <w:rPr>
          <w:rFonts w:hint="eastAsia" w:ascii="仿宋" w:hAnsi="仿宋" w:eastAsia="仿宋" w:cs="仿宋"/>
          <w:sz w:val="28"/>
          <w:szCs w:val="28"/>
        </w:rPr>
        <w:t>：______年____月____日</w:t>
      </w:r>
    </w:p>
    <w:p w14:paraId="30712BBA">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b/>
          <w:sz w:val="28"/>
          <w:szCs w:val="28"/>
        </w:rPr>
        <w:t>联系电话</w:t>
      </w:r>
      <w:r>
        <w:rPr>
          <w:rFonts w:hint="eastAsia" w:ascii="仿宋" w:hAnsi="仿宋" w:eastAsia="仿宋" w:cs="仿宋"/>
          <w:sz w:val="28"/>
          <w:szCs w:val="28"/>
        </w:rPr>
        <w:t>：________________________</w:t>
      </w:r>
    </w:p>
    <w:p w14:paraId="169F8D24">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b/>
          <w:sz w:val="28"/>
          <w:szCs w:val="28"/>
        </w:rPr>
        <w:t>开户银行</w:t>
      </w:r>
      <w:r>
        <w:rPr>
          <w:rFonts w:hint="eastAsia" w:ascii="仿宋" w:hAnsi="仿宋" w:eastAsia="仿宋" w:cs="仿宋"/>
          <w:sz w:val="28"/>
          <w:szCs w:val="28"/>
        </w:rPr>
        <w:t>：________________________</w:t>
      </w:r>
    </w:p>
    <w:p w14:paraId="02BBC4DF">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b/>
          <w:sz w:val="28"/>
          <w:szCs w:val="28"/>
        </w:rPr>
        <w:t>银行账号</w:t>
      </w:r>
      <w:r>
        <w:rPr>
          <w:rFonts w:hint="eastAsia" w:ascii="仿宋" w:hAnsi="仿宋" w:eastAsia="仿宋" w:cs="仿宋"/>
          <w:sz w:val="28"/>
          <w:szCs w:val="28"/>
        </w:rPr>
        <w:t>：________________________</w:t>
      </w:r>
    </w:p>
    <w:p w14:paraId="2D4CF1F1">
      <w:pPr>
        <w:spacing w:before="120" w:after="120" w:line="288" w:lineRule="auto"/>
        <w:ind w:left="0"/>
        <w:jc w:val="left"/>
        <w:rPr>
          <w:rFonts w:hint="eastAsia" w:ascii="仿宋" w:hAnsi="仿宋" w:eastAsia="仿宋" w:cs="仿宋"/>
          <w:b/>
          <w:sz w:val="28"/>
          <w:szCs w:val="28"/>
        </w:rPr>
      </w:pPr>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70"/>
        <w:gridCol w:w="2070"/>
        <w:gridCol w:w="2070"/>
        <w:gridCol w:w="2199"/>
      </w:tblGrid>
      <w:tr w14:paraId="0C599ED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C016F67">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sz w:val="21"/>
                <w:szCs w:val="21"/>
              </w:rPr>
              <w:t>项目名称</w:t>
            </w:r>
          </w:p>
        </w:tc>
        <w:tc>
          <w:tcPr>
            <w:tcW w:w="2070" w:type="dxa"/>
            <w:tcMar>
              <w:top w:w="60" w:type="dxa"/>
              <w:left w:w="120" w:type="dxa"/>
              <w:bottom w:w="30" w:type="dxa"/>
              <w:right w:w="120" w:type="dxa"/>
            </w:tcMar>
          </w:tcPr>
          <w:p w14:paraId="12AB0436">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sz w:val="21"/>
                <w:szCs w:val="21"/>
              </w:rPr>
              <w:t>服务内容简述</w:t>
            </w:r>
          </w:p>
        </w:tc>
        <w:tc>
          <w:tcPr>
            <w:tcW w:w="2070" w:type="dxa"/>
            <w:tcMar>
              <w:top w:w="60" w:type="dxa"/>
              <w:left w:w="120" w:type="dxa"/>
              <w:bottom w:w="30" w:type="dxa"/>
              <w:right w:w="120" w:type="dxa"/>
            </w:tcMar>
          </w:tcPr>
          <w:p w14:paraId="61CB1011">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sz w:val="21"/>
                <w:szCs w:val="21"/>
              </w:rPr>
              <w:t>总报价（人民币：元）</w:t>
            </w:r>
          </w:p>
        </w:tc>
        <w:tc>
          <w:tcPr>
            <w:tcW w:w="2199" w:type="dxa"/>
            <w:tcMar>
              <w:top w:w="60" w:type="dxa"/>
              <w:left w:w="120" w:type="dxa"/>
              <w:bottom w:w="30" w:type="dxa"/>
              <w:right w:w="120" w:type="dxa"/>
            </w:tcMar>
          </w:tcPr>
          <w:p w14:paraId="76BF7783">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sz w:val="21"/>
                <w:szCs w:val="21"/>
              </w:rPr>
              <w:t>报价说明</w:t>
            </w:r>
          </w:p>
        </w:tc>
      </w:tr>
      <w:tr w14:paraId="2B6E280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93430ED">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sz w:val="21"/>
                <w:szCs w:val="21"/>
              </w:rPr>
              <w:t>执法</w:t>
            </w:r>
            <w:r>
              <w:rPr>
                <w:rFonts w:hint="eastAsia" w:ascii="宋体" w:hAnsi="宋体" w:eastAsia="宋体" w:cs="宋体"/>
                <w:sz w:val="21"/>
                <w:szCs w:val="21"/>
                <w:lang w:eastAsia="zh-CN"/>
              </w:rPr>
              <w:t>船舶</w:t>
            </w:r>
            <w:r>
              <w:rPr>
                <w:rFonts w:hint="eastAsia" w:ascii="宋体" w:hAnsi="宋体" w:eastAsia="宋体" w:cs="宋体"/>
                <w:sz w:val="21"/>
                <w:szCs w:val="21"/>
              </w:rPr>
              <w:t>配备</w:t>
            </w:r>
            <w:r>
              <w:rPr>
                <w:rFonts w:hint="eastAsia" w:ascii="宋体" w:hAnsi="宋体" w:eastAsia="宋体" w:cs="宋体"/>
                <w:sz w:val="21"/>
                <w:szCs w:val="21"/>
                <w:lang w:eastAsia="zh-CN"/>
              </w:rPr>
              <w:t>标准</w:t>
            </w:r>
            <w:r>
              <w:rPr>
                <w:rFonts w:hint="eastAsia" w:ascii="宋体" w:hAnsi="宋体" w:eastAsia="宋体" w:cs="宋体"/>
                <w:sz w:val="21"/>
                <w:szCs w:val="21"/>
              </w:rPr>
              <w:t>研究</w:t>
            </w:r>
          </w:p>
        </w:tc>
        <w:tc>
          <w:tcPr>
            <w:tcW w:w="2070" w:type="dxa"/>
            <w:tcMar>
              <w:top w:w="60" w:type="dxa"/>
              <w:left w:w="120" w:type="dxa"/>
              <w:bottom w:w="30" w:type="dxa"/>
              <w:right w:w="120" w:type="dxa"/>
            </w:tcMar>
          </w:tcPr>
          <w:p w14:paraId="34D018DA">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sz w:val="21"/>
                <w:szCs w:val="21"/>
              </w:rPr>
              <w:t>围绕广西航道特点，以现有数据研究替代实地扫测，通过实地调研与数据分析计算</w:t>
            </w:r>
            <w:r>
              <w:rPr>
                <w:rFonts w:hint="eastAsia" w:ascii="宋体" w:hAnsi="宋体" w:eastAsia="宋体" w:cs="宋体"/>
                <w:sz w:val="21"/>
                <w:szCs w:val="21"/>
                <w:lang w:val="en-US" w:eastAsia="zh-CN"/>
              </w:rPr>
              <w:t>,</w:t>
            </w:r>
            <w:r>
              <w:rPr>
                <w:rFonts w:hint="eastAsia" w:ascii="宋体" w:hAnsi="宋体" w:eastAsia="宋体" w:cs="宋体"/>
                <w:sz w:val="21"/>
                <w:szCs w:val="21"/>
              </w:rPr>
              <w:t>完成</w:t>
            </w:r>
            <w:r>
              <w:rPr>
                <w:rFonts w:hint="eastAsia" w:ascii="宋体" w:hAnsi="宋体" w:eastAsia="宋体" w:cs="宋体"/>
                <w:b w:val="0"/>
                <w:bCs w:val="0"/>
                <w:color w:val="auto"/>
                <w:sz w:val="21"/>
                <w:szCs w:val="21"/>
              </w:rPr>
              <w:t>执法船舶船型分类与</w:t>
            </w:r>
            <w:r>
              <w:rPr>
                <w:rFonts w:hint="eastAsia" w:ascii="宋体" w:hAnsi="宋体" w:eastAsia="宋体" w:cs="宋体"/>
                <w:b w:val="0"/>
                <w:bCs w:val="0"/>
                <w:color w:val="auto"/>
                <w:sz w:val="21"/>
                <w:szCs w:val="21"/>
                <w:lang w:val="en-US" w:eastAsia="zh-CN"/>
              </w:rPr>
              <w:t>主要</w:t>
            </w:r>
            <w:r>
              <w:rPr>
                <w:rFonts w:hint="eastAsia" w:ascii="宋体" w:hAnsi="宋体" w:eastAsia="宋体" w:cs="宋体"/>
                <w:b w:val="0"/>
                <w:bCs w:val="0"/>
                <w:color w:val="auto"/>
                <w:sz w:val="21"/>
                <w:szCs w:val="21"/>
              </w:rPr>
              <w:t>参数</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执法船舶配备数量测算</w:t>
            </w:r>
            <w:r>
              <w:rPr>
                <w:rFonts w:hint="eastAsia" w:ascii="宋体" w:hAnsi="宋体" w:eastAsia="宋体" w:cs="宋体"/>
                <w:b w:val="0"/>
                <w:bCs w:val="0"/>
                <w:color w:val="auto"/>
                <w:sz w:val="21"/>
                <w:szCs w:val="21"/>
                <w:lang w:eastAsia="zh-CN"/>
              </w:rPr>
              <w:t>等</w:t>
            </w:r>
            <w:r>
              <w:rPr>
                <w:rFonts w:hint="eastAsia" w:ascii="宋体" w:hAnsi="宋体" w:eastAsia="宋体" w:cs="宋体"/>
                <w:sz w:val="21"/>
                <w:szCs w:val="21"/>
              </w:rPr>
              <w:t>核心</w:t>
            </w:r>
            <w:r>
              <w:rPr>
                <w:rFonts w:hint="eastAsia" w:ascii="宋体" w:hAnsi="宋体" w:eastAsia="宋体" w:cs="宋体"/>
                <w:sz w:val="21"/>
                <w:szCs w:val="21"/>
                <w:lang w:eastAsia="zh-CN"/>
              </w:rPr>
              <w:t>内容</w:t>
            </w:r>
            <w:r>
              <w:rPr>
                <w:rFonts w:hint="eastAsia" w:ascii="宋体" w:hAnsi="宋体" w:eastAsia="宋体" w:cs="宋体"/>
                <w:sz w:val="21"/>
                <w:szCs w:val="21"/>
              </w:rPr>
              <w:t>研究，提交《</w:t>
            </w:r>
            <w:r>
              <w:rPr>
                <w:rFonts w:hint="eastAsia" w:ascii="宋体" w:hAnsi="宋体" w:eastAsia="宋体" w:cs="宋体"/>
                <w:color w:val="auto"/>
                <w:kern w:val="0"/>
                <w:sz w:val="21"/>
                <w:szCs w:val="21"/>
                <w:lang w:val="en-US" w:eastAsia="zh-CN" w:bidi="ar"/>
              </w:rPr>
              <w:t>广西交通运输行政执法船舶配备标准</w:t>
            </w:r>
            <w:r>
              <w:rPr>
                <w:rFonts w:hint="eastAsia" w:ascii="宋体" w:hAnsi="宋体" w:eastAsia="宋体" w:cs="宋体"/>
                <w:color w:val="auto"/>
                <w:sz w:val="21"/>
                <w:szCs w:val="21"/>
              </w:rPr>
              <w:t>》</w:t>
            </w:r>
            <w:r>
              <w:rPr>
                <w:rFonts w:hint="eastAsia" w:ascii="宋体" w:hAnsi="宋体" w:eastAsia="宋体" w:cs="宋体"/>
                <w:sz w:val="21"/>
                <w:szCs w:val="21"/>
              </w:rPr>
              <w:t>等符合立项申请要求的全套咨询报告</w:t>
            </w:r>
          </w:p>
        </w:tc>
        <w:tc>
          <w:tcPr>
            <w:tcW w:w="2070" w:type="dxa"/>
            <w:tcMar>
              <w:top w:w="60" w:type="dxa"/>
              <w:left w:w="120" w:type="dxa"/>
              <w:bottom w:w="30" w:type="dxa"/>
              <w:right w:w="120" w:type="dxa"/>
            </w:tcMar>
          </w:tcPr>
          <w:p w14:paraId="1BAD5C78">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sz w:val="21"/>
                <w:szCs w:val="21"/>
              </w:rPr>
              <w:t>￥__________（大写：________________________元整）</w:t>
            </w:r>
          </w:p>
        </w:tc>
        <w:tc>
          <w:tcPr>
            <w:tcW w:w="2199" w:type="dxa"/>
            <w:tcMar>
              <w:top w:w="60" w:type="dxa"/>
              <w:left w:w="120" w:type="dxa"/>
              <w:bottom w:w="30" w:type="dxa"/>
              <w:right w:w="120" w:type="dxa"/>
            </w:tcMar>
          </w:tcPr>
          <w:p w14:paraId="25F0F868">
            <w:pPr>
              <w:spacing w:before="120" w:after="120" w:line="288" w:lineRule="auto"/>
              <w:ind w:left="0"/>
              <w:jc w:val="left"/>
              <w:rPr>
                <w:rFonts w:hint="eastAsia" w:ascii="宋体" w:hAnsi="宋体" w:eastAsia="宋体" w:cs="宋体"/>
                <w:sz w:val="21"/>
                <w:szCs w:val="21"/>
              </w:rPr>
            </w:pPr>
            <w:r>
              <w:rPr>
                <w:rFonts w:hint="eastAsia" w:ascii="宋体" w:hAnsi="宋体" w:eastAsia="宋体" w:cs="宋体"/>
                <w:sz w:val="21"/>
                <w:szCs w:val="21"/>
              </w:rPr>
              <w:t>1. 本报价为总包干价，包含调研、编制、论证、成果交付、税费等所有费用；2. 服务期限：签订合同之日起</w:t>
            </w:r>
            <w:r>
              <w:rPr>
                <w:rFonts w:hint="eastAsia" w:ascii="宋体" w:hAnsi="宋体" w:eastAsia="宋体" w:cs="宋体"/>
                <w:sz w:val="21"/>
                <w:szCs w:val="21"/>
                <w:lang w:val="en-US" w:eastAsia="zh-CN"/>
              </w:rPr>
              <w:t>5</w:t>
            </w:r>
            <w:r>
              <w:rPr>
                <w:rFonts w:hint="eastAsia" w:ascii="宋体" w:hAnsi="宋体" w:eastAsia="宋体" w:cs="宋体"/>
                <w:sz w:val="21"/>
                <w:szCs w:val="21"/>
              </w:rPr>
              <w:t>个月内完成；3. 无实地扫测相关费用，无其他额外费用；4. 报价未超过项目最高限价5万元整。</w:t>
            </w:r>
          </w:p>
        </w:tc>
      </w:tr>
    </w:tbl>
    <w:p w14:paraId="408054D5">
      <w:pPr>
        <w:spacing w:before="120" w:after="120" w:line="288" w:lineRule="auto"/>
        <w:ind w:left="0"/>
        <w:jc w:val="left"/>
      </w:pPr>
      <w:r>
        <w:rPr>
          <w:rFonts w:hint="eastAsia" w:ascii="宋体" w:hAnsi="宋体" w:eastAsia="宋体" w:cs="宋体"/>
          <w:b/>
          <w:sz w:val="21"/>
          <w:szCs w:val="21"/>
        </w:rPr>
        <w:t>注</w:t>
      </w:r>
      <w:r>
        <w:rPr>
          <w:rFonts w:hint="eastAsia" w:ascii="宋体" w:hAnsi="宋体" w:eastAsia="宋体" w:cs="宋体"/>
          <w:sz w:val="21"/>
          <w:szCs w:val="21"/>
        </w:rPr>
        <w:t>：本报价表需手写签字/盖章，涂改无效；总报价大小写不一致的，以</w:t>
      </w:r>
      <w:r>
        <w:rPr>
          <w:rFonts w:hint="eastAsia" w:ascii="宋体" w:hAnsi="宋体" w:eastAsia="宋体" w:cs="宋体"/>
          <w:b/>
          <w:sz w:val="21"/>
          <w:szCs w:val="21"/>
        </w:rPr>
        <w:t>大写金额</w:t>
      </w:r>
      <w:r>
        <w:rPr>
          <w:rFonts w:hint="eastAsia" w:ascii="宋体" w:hAnsi="宋体" w:eastAsia="宋体" w:cs="宋体"/>
          <w:sz w:val="21"/>
          <w:szCs w:val="21"/>
        </w:rPr>
        <w:t>为准。</w:t>
      </w:r>
    </w:p>
    <w:sectPr>
      <w:headerReference r:id="rId3" w:type="default"/>
      <w:footerReference r:id="rId4" w:type="default"/>
      <w:pgSz w:w="11905" w:h="16840"/>
      <w:pgMar w:top="1440" w:right="1689" w:bottom="1440" w:left="1689"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D73A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61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13BB2"/>
    <w:multiLevelType w:val="singleLevel"/>
    <w:tmpl w:val="B1913BB2"/>
    <w:lvl w:ilvl="0" w:tentative="0">
      <w:start w:val="1"/>
      <w:numFmt w:val="decimal"/>
      <w:suff w:val="nothing"/>
      <w:lvlText w:val="%1．"/>
      <w:lvlJc w:val="left"/>
      <w:pPr>
        <w:ind w:left="0" w:firstLine="400"/>
      </w:pPr>
      <w:rPr>
        <w:rFonts w:hint="default"/>
      </w:rPr>
    </w:lvl>
  </w:abstractNum>
  <w:abstractNum w:abstractNumId="1">
    <w:nsid w:val="B2C1CEAB"/>
    <w:multiLevelType w:val="singleLevel"/>
    <w:tmpl w:val="B2C1CEAB"/>
    <w:lvl w:ilvl="0" w:tentative="0">
      <w:start w:val="1"/>
      <w:numFmt w:val="decimal"/>
      <w:suff w:val="nothing"/>
      <w:lvlText w:val="%1．"/>
      <w:lvlJc w:val="left"/>
      <w:pPr>
        <w:ind w:left="0" w:firstLine="400"/>
      </w:pPr>
      <w:rPr>
        <w:rFonts w:hint="default"/>
      </w:rPr>
    </w:lvl>
  </w:abstractNum>
  <w:abstractNum w:abstractNumId="2">
    <w:nsid w:val="C3C3BDE5"/>
    <w:multiLevelType w:val="singleLevel"/>
    <w:tmpl w:val="C3C3BDE5"/>
    <w:lvl w:ilvl="0" w:tentative="0">
      <w:start w:val="3"/>
      <w:numFmt w:val="chineseCounting"/>
      <w:suff w:val="nothing"/>
      <w:lvlText w:val="%1、"/>
      <w:lvlJc w:val="left"/>
      <w:rPr>
        <w:rFonts w:hint="eastAsia"/>
      </w:rPr>
    </w:lvl>
  </w:abstractNum>
  <w:abstractNum w:abstractNumId="3">
    <w:nsid w:val="E3E1BE9E"/>
    <w:multiLevelType w:val="singleLevel"/>
    <w:tmpl w:val="E3E1BE9E"/>
    <w:lvl w:ilvl="0" w:tentative="0">
      <w:start w:val="1"/>
      <w:numFmt w:val="decimal"/>
      <w:suff w:val="nothing"/>
      <w:lvlText w:val="%1．"/>
      <w:lvlJc w:val="left"/>
      <w:pPr>
        <w:ind w:left="0" w:firstLine="400"/>
      </w:pPr>
      <w:rPr>
        <w:rFonts w:hint="default"/>
      </w:rPr>
    </w:lvl>
  </w:abstractNum>
  <w:abstractNum w:abstractNumId="4">
    <w:nsid w:val="239B8272"/>
    <w:multiLevelType w:val="singleLevel"/>
    <w:tmpl w:val="239B8272"/>
    <w:lvl w:ilvl="0" w:tentative="0">
      <w:start w:val="1"/>
      <w:numFmt w:val="decimal"/>
      <w:suff w:val="nothing"/>
      <w:lvlText w:val="%1．"/>
      <w:lvlJc w:val="left"/>
      <w:pPr>
        <w:ind w:left="0" w:firstLine="40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7398B"/>
    <w:rsid w:val="041F054D"/>
    <w:rsid w:val="07017172"/>
    <w:rsid w:val="094622A1"/>
    <w:rsid w:val="0A0521D8"/>
    <w:rsid w:val="0CBC38F1"/>
    <w:rsid w:val="0ED80C35"/>
    <w:rsid w:val="0F841BAC"/>
    <w:rsid w:val="166B30D5"/>
    <w:rsid w:val="170D06D9"/>
    <w:rsid w:val="1A143191"/>
    <w:rsid w:val="1D6D0123"/>
    <w:rsid w:val="1F6B6397"/>
    <w:rsid w:val="207D4DD2"/>
    <w:rsid w:val="271734BA"/>
    <w:rsid w:val="293D644E"/>
    <w:rsid w:val="2B5D17D7"/>
    <w:rsid w:val="2E000177"/>
    <w:rsid w:val="2E400F3C"/>
    <w:rsid w:val="2E870919"/>
    <w:rsid w:val="2ED85C4C"/>
    <w:rsid w:val="30B34751"/>
    <w:rsid w:val="322C3CB1"/>
    <w:rsid w:val="327E38FF"/>
    <w:rsid w:val="32901F78"/>
    <w:rsid w:val="33544C1D"/>
    <w:rsid w:val="33E32A95"/>
    <w:rsid w:val="377759CE"/>
    <w:rsid w:val="39FF7EFD"/>
    <w:rsid w:val="3B3836C7"/>
    <w:rsid w:val="3D0565F8"/>
    <w:rsid w:val="3D8A5D30"/>
    <w:rsid w:val="47E50732"/>
    <w:rsid w:val="49AE2DA6"/>
    <w:rsid w:val="4B3B06EC"/>
    <w:rsid w:val="4C017B05"/>
    <w:rsid w:val="4CDD4723"/>
    <w:rsid w:val="4D646055"/>
    <w:rsid w:val="516F72BF"/>
    <w:rsid w:val="53FA7313"/>
    <w:rsid w:val="57604168"/>
    <w:rsid w:val="58262129"/>
    <w:rsid w:val="58677D78"/>
    <w:rsid w:val="5C545A2F"/>
    <w:rsid w:val="5E0D3E49"/>
    <w:rsid w:val="601A003A"/>
    <w:rsid w:val="625D62A0"/>
    <w:rsid w:val="653D52B2"/>
    <w:rsid w:val="65ED509D"/>
    <w:rsid w:val="67542D87"/>
    <w:rsid w:val="67982C74"/>
    <w:rsid w:val="699851AD"/>
    <w:rsid w:val="6C2B5A49"/>
    <w:rsid w:val="6CD57C73"/>
    <w:rsid w:val="6DEE183F"/>
    <w:rsid w:val="70FF1E26"/>
    <w:rsid w:val="732D2E0A"/>
    <w:rsid w:val="737F2D12"/>
    <w:rsid w:val="756D63B5"/>
    <w:rsid w:val="774849C1"/>
    <w:rsid w:val="77D67AA8"/>
    <w:rsid w:val="7A212F9C"/>
    <w:rsid w:val="7C127041"/>
    <w:rsid w:val="7DAE2D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缩进2格"/>
    <w:basedOn w:val="1"/>
    <w:next w:val="1"/>
    <w:qFormat/>
    <w:uiPriority w:val="0"/>
    <w:pPr>
      <w:spacing w:line="600" w:lineRule="exact"/>
      <w:ind w:firstLine="639" w:firstLineChars="206"/>
    </w:pPr>
    <w:rPr>
      <w:rFonts w:ascii="方正仿宋_GB2312" w:hAnsi="宋体" w:eastAsia="方正仿宋_GB231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5380</Words>
  <Characters>5723</Characters>
  <TotalTime>4</TotalTime>
  <ScaleCrop>false</ScaleCrop>
  <LinksUpToDate>false</LinksUpToDate>
  <CharactersWithSpaces>5742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2026-03-09T03:05:00Z</dcterms:created>
  <dc:creator>Apache POI</dc:creator>
  <cp:lastModifiedBy>0 。0。。圈圈</cp:lastModifiedBy>
  <cp:lastPrinted>2026-03-11T02:50:00Z</cp:lastPrinted>
  <dcterms:modified xsi:type="dcterms:W3CDTF">2026-03-11T07:01:41Z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E87BA5411C2E468CB6A18BDFEAFC0D8C_13</vt:lpwstr>
  </property>
  <property fmtid="{D5CDD505-2E9C-101B-9397-08002B2CF9AE}" pid="4" name="KSOTemplateDocerSaveRecord">
    <vt:lpwstr>eyJoZGlkIjoiY2E1ZDhiMGUxZWE2YjFmNmJkMWNlNDBmYmMwYWM1ODciLCJ1c2VySWQiOiIxMjU2NzYwNjIzIn0=</vt:lpwstr>
  </property>
</Properties>
</file>